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58E6" w:rsidRDefault="00B158E6">
      <w:pPr>
        <w:pStyle w:val="1"/>
        <w:spacing w:before="360" w:after="220"/>
        <w:jc w:val="center"/>
        <w:rPr>
          <w:rFonts w:eastAsia="方正黑体简体" w:cstheme="minorBidi"/>
          <w:b w:val="0"/>
          <w:bCs w:val="0"/>
          <w:sz w:val="34"/>
          <w:szCs w:val="34"/>
        </w:rPr>
      </w:pPr>
      <w:r>
        <w:rPr>
          <w:rFonts w:eastAsia="方正黑体简体" w:cs="方正黑体简体" w:hint="eastAsia"/>
          <w:b w:val="0"/>
          <w:bCs w:val="0"/>
          <w:sz w:val="34"/>
          <w:szCs w:val="34"/>
        </w:rPr>
        <w:t>基于多半径高斯两步移动搜索法的北京市多类型</w:t>
      </w:r>
      <w:r>
        <w:rPr>
          <w:rFonts w:eastAsia="方正黑体简体" w:cstheme="minorBidi"/>
          <w:b w:val="0"/>
          <w:bCs w:val="0"/>
          <w:sz w:val="34"/>
          <w:szCs w:val="34"/>
        </w:rPr>
        <w:br/>
      </w:r>
      <w:r>
        <w:rPr>
          <w:rFonts w:eastAsia="方正黑体简体" w:cs="方正黑体简体" w:hint="eastAsia"/>
          <w:b w:val="0"/>
          <w:bCs w:val="0"/>
          <w:sz w:val="34"/>
          <w:szCs w:val="34"/>
        </w:rPr>
        <w:t>公共服务设施可达性分析</w:t>
      </w:r>
    </w:p>
    <w:p w:rsidR="00B158E6" w:rsidRDefault="00B158E6">
      <w:pPr>
        <w:pStyle w:val="2"/>
        <w:spacing w:line="252" w:lineRule="auto"/>
        <w:jc w:val="center"/>
        <w:rPr>
          <w:rFonts w:ascii="Times New Roman" w:eastAsia="楷体_GB2312" w:hAnsi="Times New Roman" w:cstheme="minorBidi"/>
          <w:b w:val="0"/>
          <w:bCs w:val="0"/>
          <w:sz w:val="22"/>
          <w:szCs w:val="22"/>
        </w:rPr>
      </w:pPr>
      <w:r>
        <w:rPr>
          <w:rFonts w:ascii="Times New Roman" w:eastAsia="楷体_GB2312" w:hAnsi="楷体" w:cs="楷体_GB2312" w:hint="eastAsia"/>
          <w:b w:val="0"/>
          <w:bCs w:val="0"/>
          <w:sz w:val="22"/>
          <w:szCs w:val="22"/>
        </w:rPr>
        <w:t>田浩正</w:t>
      </w:r>
      <w:r>
        <w:rPr>
          <w:rFonts w:ascii="Times New Roman" w:eastAsia="楷体_GB2312" w:hAnsi="Times New Roman" w:cs="Times New Roman"/>
          <w:b w:val="0"/>
          <w:bCs w:val="0"/>
          <w:sz w:val="22"/>
          <w:szCs w:val="22"/>
          <w:vertAlign w:val="superscript"/>
        </w:rPr>
        <w:t>1</w:t>
      </w:r>
      <w:r>
        <w:rPr>
          <w:rFonts w:ascii="Times New Roman" w:eastAsia="楷体_GB2312" w:hAnsi="楷体" w:cs="楷体_GB2312" w:hint="eastAsia"/>
          <w:b w:val="0"/>
          <w:bCs w:val="0"/>
          <w:sz w:val="22"/>
          <w:szCs w:val="22"/>
        </w:rPr>
        <w:t>，蒋晓涵</w:t>
      </w:r>
      <w:r>
        <w:rPr>
          <w:rFonts w:ascii="Times New Roman" w:eastAsia="楷体_GB2312" w:hAnsi="Times New Roman" w:cs="Times New Roman"/>
          <w:b w:val="0"/>
          <w:bCs w:val="0"/>
          <w:sz w:val="22"/>
          <w:szCs w:val="22"/>
          <w:vertAlign w:val="superscript"/>
        </w:rPr>
        <w:t>2</w:t>
      </w:r>
      <w:r>
        <w:rPr>
          <w:rFonts w:ascii="Times New Roman" w:eastAsia="楷体_GB2312" w:hAnsi="楷体" w:cs="楷体_GB2312" w:hint="eastAsia"/>
          <w:b w:val="0"/>
          <w:bCs w:val="0"/>
          <w:sz w:val="22"/>
          <w:szCs w:val="22"/>
        </w:rPr>
        <w:t>，张</w:t>
      </w:r>
      <w:r>
        <w:rPr>
          <w:rFonts w:ascii="Times New Roman" w:eastAsia="楷体_GB2312" w:hAnsi="楷体" w:cs="Times New Roman"/>
          <w:b w:val="0"/>
          <w:bCs w:val="0"/>
          <w:sz w:val="22"/>
          <w:szCs w:val="22"/>
        </w:rPr>
        <w:t xml:space="preserve">  </w:t>
      </w:r>
      <w:r>
        <w:rPr>
          <w:rFonts w:ascii="Times New Roman" w:eastAsia="楷体_GB2312" w:hAnsi="楷体" w:cs="楷体_GB2312" w:hint="eastAsia"/>
          <w:b w:val="0"/>
          <w:bCs w:val="0"/>
          <w:sz w:val="22"/>
          <w:szCs w:val="22"/>
        </w:rPr>
        <w:t>宁</w:t>
      </w:r>
      <w:r>
        <w:rPr>
          <w:rFonts w:ascii="Times New Roman" w:eastAsia="楷体_GB2312" w:hAnsi="Times New Roman" w:cs="Times New Roman"/>
          <w:b w:val="0"/>
          <w:bCs w:val="0"/>
          <w:sz w:val="22"/>
          <w:szCs w:val="22"/>
          <w:vertAlign w:val="superscript"/>
        </w:rPr>
        <w:t>3,4*</w:t>
      </w:r>
      <w:r>
        <w:rPr>
          <w:rFonts w:ascii="Times New Roman" w:eastAsia="楷体_GB2312" w:hAnsi="楷体" w:cs="楷体_GB2312" w:hint="eastAsia"/>
          <w:b w:val="0"/>
          <w:bCs w:val="0"/>
          <w:sz w:val="22"/>
          <w:szCs w:val="22"/>
        </w:rPr>
        <w:t>，阿部都拉</w:t>
      </w:r>
      <w:r>
        <w:rPr>
          <w:rFonts w:ascii="Times New Roman" w:eastAsia="楷体_GB2312" w:hAnsi="Times New Roman" w:cs="楷体_GB2312" w:hint="eastAsia"/>
          <w:b w:val="0"/>
          <w:bCs w:val="0"/>
          <w:sz w:val="22"/>
          <w:szCs w:val="22"/>
        </w:rPr>
        <w:t>·</w:t>
      </w:r>
      <w:r>
        <w:rPr>
          <w:rFonts w:ascii="Times New Roman" w:eastAsia="楷体_GB2312" w:hAnsi="楷体" w:cs="楷体_GB2312" w:hint="eastAsia"/>
          <w:b w:val="0"/>
          <w:bCs w:val="0"/>
          <w:sz w:val="22"/>
          <w:szCs w:val="22"/>
        </w:rPr>
        <w:t>阿力木江</w:t>
      </w:r>
      <w:r>
        <w:rPr>
          <w:rFonts w:ascii="Times New Roman" w:eastAsia="楷体_GB2312" w:hAnsi="Times New Roman" w:cs="Times New Roman"/>
          <w:b w:val="0"/>
          <w:bCs w:val="0"/>
          <w:sz w:val="22"/>
          <w:szCs w:val="22"/>
          <w:vertAlign w:val="superscript"/>
        </w:rPr>
        <w:t>5</w:t>
      </w:r>
      <w:r>
        <w:rPr>
          <w:rFonts w:ascii="Times New Roman" w:eastAsia="楷体_GB2312" w:hAnsi="楷体" w:cs="楷体_GB2312" w:hint="eastAsia"/>
          <w:b w:val="0"/>
          <w:bCs w:val="0"/>
          <w:sz w:val="22"/>
          <w:szCs w:val="22"/>
        </w:rPr>
        <w:t>，王少华</w:t>
      </w:r>
      <w:r>
        <w:rPr>
          <w:rFonts w:ascii="Times New Roman" w:eastAsia="楷体_GB2312" w:hAnsi="Times New Roman" w:cs="Times New Roman"/>
          <w:b w:val="0"/>
          <w:bCs w:val="0"/>
          <w:sz w:val="22"/>
          <w:szCs w:val="22"/>
          <w:vertAlign w:val="superscript"/>
        </w:rPr>
        <w:t>1</w:t>
      </w:r>
    </w:p>
    <w:p w:rsidR="00B158E6" w:rsidRDefault="00B158E6">
      <w:pPr>
        <w:pStyle w:val="10"/>
        <w:ind w:left="0" w:firstLine="0"/>
        <w:jc w:val="center"/>
        <w:rPr>
          <w:rFonts w:ascii="Times New Roman" w:hAnsi="Times New Roman" w:cs="Times New Roman"/>
        </w:rPr>
      </w:pPr>
      <w:bookmarkStart w:id="3" w:name="OLE_LINK23"/>
      <w:r>
        <w:rPr>
          <w:rFonts w:ascii="Times New Roman" w:cs="Times New Roman"/>
        </w:rPr>
        <w:t xml:space="preserve">1. </w:t>
      </w:r>
      <w:r>
        <w:rPr>
          <w:rFonts w:ascii="Times New Roman" w:cs="方正书宋_GBK" w:hint="eastAsia"/>
        </w:rPr>
        <w:t>中国科学院空天信息创新研究院</w:t>
      </w:r>
      <w:bookmarkEnd w:id="3"/>
      <w:r>
        <w:rPr>
          <w:rFonts w:ascii="Times New Roman" w:cs="方正书宋_GBK" w:hint="eastAsia"/>
        </w:rPr>
        <w:t>，遥感与数字地球全国重点实验室，北京</w:t>
      </w:r>
      <w:r>
        <w:rPr>
          <w:rFonts w:ascii="Times New Roman" w:hAnsi="Times New Roman" w:cs="Times New Roman"/>
        </w:rPr>
        <w:t xml:space="preserve"> 100101</w:t>
      </w:r>
      <w:r>
        <w:rPr>
          <w:rFonts w:ascii="Times New Roman" w:cs="方正书宋_GBK" w:hint="eastAsia"/>
        </w:rPr>
        <w:t>；</w:t>
      </w:r>
      <w:r>
        <w:rPr>
          <w:rFonts w:ascii="Times New Roman" w:hAnsi="Times New Roman" w:cs="Times New Roman"/>
        </w:rPr>
        <w:br/>
        <w:t xml:space="preserve">2. </w:t>
      </w:r>
      <w:r>
        <w:rPr>
          <w:rFonts w:ascii="Times New Roman" w:hAnsi="Times New Roman" w:cs="方正书宋_GBK" w:hint="eastAsia"/>
        </w:rPr>
        <w:t>兰州交通大学建筑与城市规划学院，兰州</w:t>
      </w:r>
      <w:r>
        <w:rPr>
          <w:rFonts w:ascii="Times New Roman" w:hAnsi="Times New Roman" w:cs="Times New Roman"/>
        </w:rPr>
        <w:t xml:space="preserve"> 730070</w:t>
      </w:r>
      <w:r>
        <w:rPr>
          <w:rFonts w:ascii="Times New Roman" w:hAnsi="Times New Roman" w:cs="方正书宋_GBK" w:hint="eastAsia"/>
        </w:rPr>
        <w:t>；</w:t>
      </w:r>
      <w:r>
        <w:rPr>
          <w:rFonts w:ascii="Times New Roman" w:hAnsi="Times New Roman" w:cs="Times New Roman"/>
        </w:rPr>
        <w:br/>
        <w:t xml:space="preserve">3. </w:t>
      </w:r>
      <w:r>
        <w:rPr>
          <w:rFonts w:ascii="Times New Roman" w:hAnsi="Times New Roman" w:cs="方正书宋_GBK" w:hint="eastAsia"/>
        </w:rPr>
        <w:t>中国城市规划设计研究院，北京</w:t>
      </w:r>
      <w:r>
        <w:rPr>
          <w:rFonts w:ascii="Times New Roman" w:hAnsi="Times New Roman" w:cs="Times New Roman"/>
        </w:rPr>
        <w:t xml:space="preserve"> 100044</w:t>
      </w:r>
      <w:r>
        <w:rPr>
          <w:rFonts w:ascii="Times New Roman" w:hAnsi="Times New Roman" w:cs="方正书宋_GBK" w:hint="eastAsia"/>
        </w:rPr>
        <w:t>；</w:t>
      </w:r>
    </w:p>
    <w:p w:rsidR="00B158E6" w:rsidRDefault="00B158E6">
      <w:pPr>
        <w:pStyle w:val="10"/>
        <w:spacing w:after="200"/>
        <w:ind w:left="0" w:firstLine="0"/>
        <w:jc w:val="center"/>
        <w:rPr>
          <w:rFonts w:ascii="Times New Roman" w:hAnsi="Times New Roman" w:cs="Times New Roman"/>
        </w:rPr>
      </w:pPr>
      <w:r>
        <w:rPr>
          <w:rFonts w:ascii="Times New Roman" w:hAnsi="Times New Roman" w:cs="Times New Roman"/>
        </w:rPr>
        <w:t xml:space="preserve">4. </w:t>
      </w:r>
      <w:r>
        <w:rPr>
          <w:rFonts w:ascii="Times New Roman" w:hAnsi="Times New Roman" w:cs="方正书宋_GBK" w:hint="eastAsia"/>
        </w:rPr>
        <w:t>住房和城乡建设部遥感应用中心，北京</w:t>
      </w:r>
      <w:r>
        <w:rPr>
          <w:rFonts w:ascii="Times New Roman" w:hAnsi="Times New Roman" w:cs="Times New Roman"/>
        </w:rPr>
        <w:t>100835</w:t>
      </w:r>
      <w:r>
        <w:rPr>
          <w:rFonts w:ascii="Times New Roman" w:hAnsi="Times New Roman" w:cs="方正书宋_GBK" w:hint="eastAsia"/>
        </w:rPr>
        <w:t>；</w:t>
      </w:r>
      <w:r>
        <w:rPr>
          <w:rFonts w:ascii="Times New Roman" w:hAnsi="Times New Roman" w:cs="Times New Roman"/>
        </w:rPr>
        <w:br/>
        <w:t xml:space="preserve">5. </w:t>
      </w:r>
      <w:r>
        <w:rPr>
          <w:rFonts w:ascii="Times New Roman" w:hAnsi="Times New Roman" w:cs="方正书宋_GBK" w:hint="eastAsia"/>
        </w:rPr>
        <w:t>中国科学院地理科学与资源研究所，北京</w:t>
      </w:r>
      <w:r>
        <w:rPr>
          <w:rFonts w:ascii="Times New Roman" w:hAnsi="Times New Roman" w:cs="Times New Roman"/>
        </w:rPr>
        <w:t xml:space="preserve"> 100101</w:t>
      </w:r>
    </w:p>
    <w:p w:rsidR="00B158E6" w:rsidRDefault="00B158E6">
      <w:pPr>
        <w:spacing w:line="283" w:lineRule="auto"/>
        <w:ind w:right="397" w:firstLine="0"/>
        <w:rPr>
          <w:rFonts w:cstheme="minorBidi"/>
          <w:sz w:val="18"/>
          <w:szCs w:val="18"/>
        </w:rPr>
      </w:pPr>
      <w:r>
        <w:rPr>
          <w:rFonts w:eastAsia="黑体" w:cs="黑体" w:hint="eastAsia"/>
          <w:b/>
          <w:bCs/>
          <w:sz w:val="18"/>
          <w:szCs w:val="18"/>
        </w:rPr>
        <w:t>摘</w:t>
      </w:r>
      <w:r>
        <w:rPr>
          <w:rFonts w:eastAsia="黑体"/>
          <w:b/>
          <w:bCs/>
          <w:sz w:val="18"/>
          <w:szCs w:val="18"/>
        </w:rPr>
        <w:t xml:space="preserve">  </w:t>
      </w:r>
      <w:r>
        <w:rPr>
          <w:rFonts w:eastAsia="黑体" w:cs="黑体" w:hint="eastAsia"/>
          <w:b/>
          <w:bCs/>
          <w:sz w:val="18"/>
          <w:szCs w:val="18"/>
        </w:rPr>
        <w:t>要</w:t>
      </w:r>
      <w:r>
        <w:rPr>
          <w:rFonts w:eastAsia="黑体" w:cs="黑体" w:hint="eastAsia"/>
          <w:sz w:val="18"/>
          <w:szCs w:val="18"/>
        </w:rPr>
        <w:t>：</w:t>
      </w:r>
      <w:r>
        <w:rPr>
          <w:rFonts w:cs="方正书宋_GBK" w:hint="eastAsia"/>
          <w:sz w:val="18"/>
          <w:szCs w:val="18"/>
          <w:shd w:val="clear" w:color="auto" w:fill="FFFFFF"/>
        </w:rPr>
        <w:t>公共服务设施空间配置的均衡性直接关系城市运行效率、居民生活质量及公共服务公平。针对现有研究多聚焦单一设施类型、缺乏统一参数框架且难以刻画多类型设施差异化服务过程的问题，本文以北京市建成区为研究区域，选取医疗、教育、交通、购物、休闲及生活服务六类公共服务设施为研究对象，融合道路网络、人口分布、建成区及兴趣点等多源空间数据，构建多半径高斯两步移动搜索法（</w:t>
      </w:r>
      <w:r>
        <w:rPr>
          <w:sz w:val="18"/>
          <w:szCs w:val="18"/>
          <w:shd w:val="clear" w:color="auto" w:fill="FFFFFF"/>
        </w:rPr>
        <w:t>Multi-Radius Gaussian Two-Step Floating Catchment Area m</w:t>
      </w:r>
      <w:r>
        <w:rPr>
          <w:sz w:val="18"/>
          <w:szCs w:val="18"/>
          <w:shd w:val="clear" w:color="auto" w:fill="FFFFFF"/>
        </w:rPr>
        <w:t>e</w:t>
      </w:r>
      <w:r>
        <w:rPr>
          <w:sz w:val="18"/>
          <w:szCs w:val="18"/>
          <w:shd w:val="clear" w:color="auto" w:fill="FFFFFF"/>
        </w:rPr>
        <w:t>thod</w:t>
      </w:r>
      <w:r>
        <w:rPr>
          <w:rFonts w:cs="方正书宋_GBK" w:hint="eastAsia"/>
          <w:sz w:val="18"/>
          <w:szCs w:val="18"/>
          <w:shd w:val="clear" w:color="auto" w:fill="FFFFFF"/>
        </w:rPr>
        <w:t>，</w:t>
      </w:r>
      <w:r>
        <w:rPr>
          <w:sz w:val="18"/>
          <w:szCs w:val="18"/>
          <w:shd w:val="clear" w:color="auto" w:fill="FFFFFF"/>
        </w:rPr>
        <w:t>MRGS2SFCA</w:t>
      </w:r>
      <w:r>
        <w:rPr>
          <w:rFonts w:cs="方正书宋_GBK" w:hint="eastAsia"/>
          <w:sz w:val="18"/>
          <w:szCs w:val="18"/>
          <w:shd w:val="clear" w:color="auto" w:fill="FFFFFF"/>
        </w:rPr>
        <w:t>）模型，对公共服务设施的覆盖格局与可达性特征进行系统分析。研究首先基于</w:t>
      </w:r>
      <w:r>
        <w:rPr>
          <w:sz w:val="18"/>
          <w:szCs w:val="18"/>
          <w:shd w:val="clear" w:color="auto" w:fill="FFFFFF"/>
        </w:rPr>
        <w:t>POI</w:t>
      </w:r>
      <w:r>
        <w:rPr>
          <w:rFonts w:cs="方正书宋_GBK" w:hint="eastAsia"/>
          <w:sz w:val="18"/>
          <w:szCs w:val="18"/>
          <w:shd w:val="clear" w:color="auto" w:fill="FFFFFF"/>
        </w:rPr>
        <w:t>语义清洗与层级映射构建统一参数体系，将不同类型设施在服务半径、距离衰减与供给能力上的差异转化为可比较的模型参数；随后在统一需求空间单元上测度六类设施的可达性水平，并对其空间分布及结构差异进行综合比较。北京市公共服务设施整体呈现显著的“中心集聚</w:t>
      </w:r>
      <w:r>
        <w:rPr>
          <w:sz w:val="18"/>
          <w:szCs w:val="18"/>
          <w:shd w:val="clear" w:color="auto" w:fill="FFFFFF"/>
        </w:rPr>
        <w:t>-</w:t>
      </w:r>
      <w:r>
        <w:rPr>
          <w:rFonts w:cs="方正书宋_GBK" w:hint="eastAsia"/>
          <w:sz w:val="18"/>
          <w:szCs w:val="18"/>
          <w:shd w:val="clear" w:color="auto" w:fill="FFFFFF"/>
        </w:rPr>
        <w:t>外围递减”格局，高覆盖、高可达性区域主要集中于东城区、西城区、朝阳区中部及海淀区南部等核心城区，而顺义、通州、大兴、房山以及延庆、门头沟等外围区域则存在不同程度的服务不足</w:t>
      </w:r>
      <w:r>
        <w:rPr>
          <w:rFonts w:cs="方正书宋_GBK" w:hint="eastAsia"/>
          <w:spacing w:val="2"/>
          <w:sz w:val="18"/>
          <w:szCs w:val="18"/>
          <w:shd w:val="clear" w:color="auto" w:fill="FFFFFF"/>
        </w:rPr>
        <w:t>。六类设施虽均服从总体梯度结构，但空间组织方式存在显著差异：医疗与教育设施表现出较强的等级性和中心集聚特征，交通设施体现出较强的网络连续性，购物设施呈现多中心节点扩展格局，休闲设施分布相对离散，而生活服务设施则表现出高密度、广覆盖和较强的基层均衡性。研究表明，</w:t>
      </w:r>
      <w:r>
        <w:rPr>
          <w:spacing w:val="2"/>
          <w:sz w:val="18"/>
          <w:szCs w:val="18"/>
          <w:shd w:val="clear" w:color="auto" w:fill="FFFFFF"/>
        </w:rPr>
        <w:t>MRGS2SFCA</w:t>
      </w:r>
      <w:r>
        <w:rPr>
          <w:rFonts w:cs="方正书宋_GBK" w:hint="eastAsia"/>
          <w:spacing w:val="2"/>
          <w:sz w:val="18"/>
          <w:szCs w:val="18"/>
          <w:shd w:val="clear" w:color="auto" w:fill="FFFFFF"/>
        </w:rPr>
        <w:t>模型能够有效克服传统两步移动搜索法（</w:t>
      </w:r>
      <w:r>
        <w:rPr>
          <w:spacing w:val="2"/>
          <w:sz w:val="18"/>
          <w:szCs w:val="18"/>
          <w:shd w:val="clear" w:color="auto" w:fill="FFFFFF"/>
        </w:rPr>
        <w:t>2SFCA</w:t>
      </w:r>
      <w:r>
        <w:rPr>
          <w:rFonts w:cs="方正书宋_GBK" w:hint="eastAsia"/>
          <w:spacing w:val="2"/>
          <w:sz w:val="18"/>
          <w:szCs w:val="18"/>
          <w:shd w:val="clear" w:color="auto" w:fill="FFFFFF"/>
        </w:rPr>
        <w:t>）在固定阈值与统一服务半径条件下对多类型设施刻画不足的问题，实现不同设施在同一分析框架下的可比表达。</w:t>
      </w:r>
    </w:p>
    <w:p w:rsidR="00B158E6" w:rsidRDefault="00B158E6">
      <w:pPr>
        <w:ind w:right="397" w:firstLine="0"/>
        <w:rPr>
          <w:rFonts w:cstheme="minorBidi"/>
          <w:sz w:val="18"/>
          <w:szCs w:val="18"/>
        </w:rPr>
      </w:pPr>
      <w:r>
        <w:rPr>
          <w:rFonts w:eastAsia="黑体" w:cs="黑体" w:hint="eastAsia"/>
          <w:b/>
          <w:bCs/>
          <w:sz w:val="18"/>
          <w:szCs w:val="18"/>
        </w:rPr>
        <w:t>关键词</w:t>
      </w:r>
      <w:r>
        <w:rPr>
          <w:rFonts w:eastAsia="黑体" w:cs="黑体" w:hint="eastAsia"/>
          <w:sz w:val="18"/>
          <w:szCs w:val="18"/>
        </w:rPr>
        <w:t>：</w:t>
      </w:r>
      <w:r>
        <w:rPr>
          <w:rFonts w:cs="方正书宋_GBK" w:hint="eastAsia"/>
          <w:sz w:val="18"/>
          <w:szCs w:val="18"/>
        </w:rPr>
        <w:t>公共服务设施；</w:t>
      </w:r>
      <w:r>
        <w:rPr>
          <w:sz w:val="18"/>
          <w:szCs w:val="18"/>
        </w:rPr>
        <w:t>POI</w:t>
      </w:r>
      <w:r>
        <w:rPr>
          <w:rFonts w:cs="方正书宋_GBK" w:hint="eastAsia"/>
          <w:sz w:val="18"/>
          <w:szCs w:val="18"/>
        </w:rPr>
        <w:t>；可达性；</w:t>
      </w:r>
      <w:r>
        <w:rPr>
          <w:sz w:val="18"/>
          <w:szCs w:val="18"/>
        </w:rPr>
        <w:t>MRGS2SFCA</w:t>
      </w:r>
      <w:r>
        <w:rPr>
          <w:rFonts w:cs="方正书宋_GBK" w:hint="eastAsia"/>
          <w:sz w:val="18"/>
          <w:szCs w:val="18"/>
        </w:rPr>
        <w:t>模型</w:t>
      </w:r>
    </w:p>
    <w:p w:rsidR="00B158E6" w:rsidRDefault="00B158E6">
      <w:pPr>
        <w:ind w:right="397" w:firstLine="0"/>
        <w:rPr>
          <w:rFonts w:cstheme="minorBidi"/>
          <w:sz w:val="18"/>
          <w:szCs w:val="18"/>
        </w:rPr>
      </w:pPr>
      <w:r>
        <w:rPr>
          <w:rStyle w:val="a6"/>
          <w:b/>
          <w:bCs/>
        </w:rPr>
        <w:t>DOI:</w:t>
      </w:r>
      <w:r>
        <w:t xml:space="preserve"> </w:t>
      </w:r>
      <w:r>
        <w:rPr>
          <w:rFonts w:eastAsia="宋体"/>
          <w:sz w:val="18"/>
          <w:szCs w:val="18"/>
        </w:rPr>
        <w:t xml:space="preserve">https://doi.org/10.3974/geodp.2026.05.04 </w:t>
      </w:r>
    </w:p>
    <w:p w:rsidR="00B158E6" w:rsidRDefault="00B158E6">
      <w:pPr>
        <w:pStyle w:val="50"/>
        <w:spacing w:before="40" w:after="40" w:line="252" w:lineRule="auto"/>
        <w:jc w:val="left"/>
        <w:rPr>
          <w:rFonts w:eastAsia="宋体"/>
          <w:b w:val="0"/>
          <w:bCs w:val="0"/>
          <w:sz w:val="18"/>
          <w:szCs w:val="18"/>
        </w:rPr>
      </w:pPr>
      <w:r>
        <w:rPr>
          <w:rStyle w:val="a6"/>
          <w:sz w:val="18"/>
          <w:szCs w:val="18"/>
        </w:rPr>
        <w:t xml:space="preserve">CSTR: </w:t>
      </w:r>
      <w:r>
        <w:rPr>
          <w:rFonts w:eastAsia="宋体"/>
          <w:b w:val="0"/>
          <w:bCs w:val="0"/>
          <w:sz w:val="18"/>
          <w:szCs w:val="18"/>
        </w:rPr>
        <w:t xml:space="preserve">https://cstr.escience.org.cn/CSTR:20146.14.2026.05.04. </w:t>
      </w:r>
    </w:p>
    <w:p w:rsidR="00B158E6" w:rsidRDefault="00B158E6">
      <w:pPr>
        <w:ind w:right="397" w:firstLine="0"/>
        <w:rPr>
          <w:sz w:val="17"/>
          <w:szCs w:val="17"/>
        </w:rPr>
      </w:pPr>
      <w:r>
        <w:rPr>
          <w:sz w:val="17"/>
          <w:szCs w:val="17"/>
        </w:rPr>
        <w:t xml:space="preserve"> </w:t>
      </w:r>
    </w:p>
    <w:p w:rsidR="00B158E6" w:rsidRDefault="00B158E6">
      <w:pPr>
        <w:pStyle w:val="3"/>
        <w:spacing w:line="259" w:lineRule="auto"/>
        <w:rPr>
          <w:rFonts w:ascii="方正书宋_GBK" w:cstheme="minorBidi"/>
          <w:b w:val="0"/>
          <w:bCs w:val="0"/>
        </w:rPr>
      </w:pPr>
      <w:r>
        <w:lastRenderedPageBreak/>
        <w:t xml:space="preserve">1 </w:t>
      </w:r>
      <w:r>
        <w:rPr>
          <w:rFonts w:ascii="方正书宋_GBK" w:hAnsi="Adobe 黑体 Std R" w:cs="方正书宋_GBK"/>
        </w:rPr>
        <w:t xml:space="preserve"> </w:t>
      </w:r>
      <w:r>
        <w:rPr>
          <w:rFonts w:ascii="方正书宋_GBK" w:hAnsi="Adobe 黑体 Std R" w:cs="方正书宋_GBK" w:hint="eastAsia"/>
        </w:rPr>
        <w:t>前言</w:t>
      </w:r>
    </w:p>
    <w:p w:rsidR="00B158E6" w:rsidRDefault="00B158E6">
      <w:pPr>
        <w:rPr>
          <w:rFonts w:cstheme="minorBidi"/>
        </w:rPr>
      </w:pPr>
      <w:r>
        <w:rPr>
          <w:rFonts w:cs="方正书宋_GBK" w:hint="eastAsia"/>
        </w:rPr>
        <w:t>公共服务设施作为支撑城市发展的基础性要素，在维持城市运行、提升居民福祉与促进社会公平方面发挥着关键作用。此类设施涵盖交通、医疗、教育、商业、文化与休闲等多个领域，直接服务于居民日常生活需求</w:t>
      </w:r>
      <w:r>
        <w:rPr>
          <w:vertAlign w:val="superscript"/>
        </w:rPr>
        <w:t>[1]</w:t>
      </w:r>
      <w:r>
        <w:rPr>
          <w:rFonts w:cs="方正书宋_GBK" w:hint="eastAsia"/>
        </w:rPr>
        <w:t>。实现公共服务设施的空间均衡配置与供需协调，是提升城市宜居性和推动可持续发展的重要路径</w:t>
      </w:r>
      <w:r>
        <w:rPr>
          <w:vertAlign w:val="superscript"/>
        </w:rPr>
        <w:t>[2]</w:t>
      </w:r>
      <w:r>
        <w:rPr>
          <w:rFonts w:cs="方正书宋_GBK" w:hint="eastAsia"/>
        </w:rPr>
        <w:t>。从全球层面看，这一目标与联合国可持续发展目标，尤其是</w:t>
      </w:r>
      <w:r>
        <w:rPr>
          <w:rFonts w:ascii="方正书宋_GBK" w:cs="方正书宋_GBK" w:hint="eastAsia"/>
        </w:rPr>
        <w:t>“</w:t>
      </w:r>
      <w:r>
        <w:rPr>
          <w:rFonts w:cs="方正书宋_GBK" w:hint="eastAsia"/>
        </w:rPr>
        <w:t>可持续城市与社区</w:t>
      </w:r>
      <w:r>
        <w:rPr>
          <w:rFonts w:ascii="方正书宋_GBK" w:cs="方正书宋_GBK" w:hint="eastAsia"/>
        </w:rPr>
        <w:t>”</w:t>
      </w:r>
      <w:r>
        <w:rPr>
          <w:rFonts w:cs="方正书宋_GBK" w:hint="eastAsia"/>
        </w:rPr>
        <w:t>高度契合</w:t>
      </w:r>
      <w:r>
        <w:rPr>
          <w:vertAlign w:val="superscript"/>
        </w:rPr>
        <w:t>[3]</w:t>
      </w:r>
      <w:r>
        <w:rPr>
          <w:rFonts w:cs="方正书宋_GBK" w:hint="eastAsia"/>
        </w:rPr>
        <w:t>；从国家层面看，则呼应中国新型城镇化进程中对公共服务均等化与包容性发展的要求</w:t>
      </w:r>
      <w:r>
        <w:rPr>
          <w:vertAlign w:val="superscript"/>
        </w:rPr>
        <w:t>[4,5]</w:t>
      </w:r>
      <w:r>
        <w:rPr>
          <w:rFonts w:cs="方正书宋_GBK" w:hint="eastAsia"/>
        </w:rPr>
        <w:t>。</w:t>
      </w:r>
    </w:p>
    <w:p w:rsidR="00B158E6" w:rsidRDefault="00B158E6">
      <w:pPr>
        <w:rPr>
          <w:rFonts w:cstheme="minorBidi"/>
        </w:rPr>
      </w:pPr>
      <w:r>
        <w:rPr>
          <w:rFonts w:cs="方正书宋_GBK" w:hint="eastAsia"/>
        </w:rPr>
        <w:t>在快速城市化背景下，北京市公共服务需求呈现出显著的多样化与动态化特征，同时设施供给在空间上的不均衡问题日益突出</w:t>
      </w:r>
      <w:r>
        <w:rPr>
          <w:vertAlign w:val="superscript"/>
        </w:rPr>
        <w:t>[6,7]</w:t>
      </w:r>
      <w:r>
        <w:rPr>
          <w:rFonts w:cs="方正书宋_GBK" w:hint="eastAsia"/>
        </w:rPr>
        <w:t>。北京作为典型超大城市，具有空间尺度大、功能分区复杂、核心</w:t>
      </w:r>
      <w:r>
        <w:t>-</w:t>
      </w:r>
      <w:r>
        <w:rPr>
          <w:rFonts w:cs="方正书宋_GBK" w:hint="eastAsia"/>
        </w:rPr>
        <w:t>外围差异显著等特征，不同区域在人口密度、就业活动、交通条件与服务需求方面存在明显差异，使得设施供给与需求之间的错位现象更加突出。仅依赖设施数量或人均指标，已难以准确识别城市内部真实的服务获取差异。</w:t>
      </w:r>
    </w:p>
    <w:p w:rsidR="00B158E6" w:rsidRDefault="00B158E6">
      <w:pPr>
        <w:rPr>
          <w:rFonts w:cstheme="minorBidi"/>
        </w:rPr>
      </w:pPr>
      <w:r>
        <w:rPr>
          <w:rFonts w:cs="方正书宋_GBK" w:hint="eastAsia"/>
        </w:rPr>
        <w:t>近年来，基于时空大数据的空间异质性分析、统计建模及指标体系构建逐渐成为监测公共服务设施覆盖与供需关系的重要技术路径。相关研究主要集中在三个方面：一是空间异质性刻画方法，如基于生活圈尺度的服务评价和基于移动数据的需求密度分析</w:t>
      </w:r>
      <w:r>
        <w:rPr>
          <w:vertAlign w:val="superscript"/>
        </w:rPr>
        <w:t>[6,7]</w:t>
      </w:r>
      <w:r>
        <w:rPr>
          <w:rFonts w:cs="方正书宋_GBK" w:hint="eastAsia"/>
        </w:rPr>
        <w:t>；二是智能算法在设施优化中的应用，如商业求解器、启发式算法、深度强化学习及</w:t>
      </w:r>
      <w:bookmarkStart w:id="4" w:name="OLE_LINK21"/>
      <w:r>
        <w:rPr>
          <w:rFonts w:cs="方正书宋_GBK" w:hint="eastAsia"/>
        </w:rPr>
        <w:t>图卷积网络</w:t>
      </w:r>
      <w:bookmarkEnd w:id="4"/>
      <w:r>
        <w:rPr>
          <w:rFonts w:cs="方正书宋_GBK" w:hint="eastAsia"/>
        </w:rPr>
        <w:t>等</w:t>
      </w:r>
      <w:r>
        <w:rPr>
          <w:vertAlign w:val="superscript"/>
        </w:rPr>
        <w:t>[7–10]</w:t>
      </w:r>
      <w:r>
        <w:rPr>
          <w:rFonts w:cs="方正书宋_GBK" w:hint="eastAsia"/>
        </w:rPr>
        <w:t>；三是融合</w:t>
      </w:r>
      <w:r>
        <w:t>GIS</w:t>
      </w:r>
      <w:r>
        <w:rPr>
          <w:rFonts w:cs="方正书宋_GBK" w:hint="eastAsia"/>
        </w:rPr>
        <w:t>与空间统计方法对公共服务不均衡问题的量化测度</w:t>
      </w:r>
      <w:r>
        <w:rPr>
          <w:vertAlign w:val="superscript"/>
        </w:rPr>
        <w:t>[8,9]</w:t>
      </w:r>
      <w:r>
        <w:rPr>
          <w:rFonts w:cs="方正书宋_GBK" w:hint="eastAsia"/>
        </w:rPr>
        <w:t>。与此同时，</w:t>
      </w:r>
      <w:r>
        <w:t>POI</w:t>
      </w:r>
      <w:r>
        <w:rPr>
          <w:rFonts w:cs="方正书宋_GBK" w:hint="eastAsia"/>
        </w:rPr>
        <w:t>（</w:t>
      </w:r>
      <w:r>
        <w:t>Point of Interest</w:t>
      </w:r>
      <w:r>
        <w:rPr>
          <w:rFonts w:cs="方正书宋_GBK" w:hint="eastAsia"/>
        </w:rPr>
        <w:t>）数据可用于精细描绘设施空间分布，人口数据可反映潜在需求规模，道路网络数据则为可达性分析提供基础，多源数据融合已成为研究城市公共服务供需关系的重要思路</w:t>
      </w:r>
      <w:r>
        <w:rPr>
          <w:vertAlign w:val="superscript"/>
        </w:rPr>
        <w:t>[11–13]</w:t>
      </w:r>
      <w:r>
        <w:rPr>
          <w:rFonts w:cs="方正书宋_GBK" w:hint="eastAsia"/>
        </w:rPr>
        <w:t>。</w:t>
      </w:r>
    </w:p>
    <w:p w:rsidR="00B158E6" w:rsidRDefault="00B158E6">
      <w:pPr>
        <w:rPr>
          <w:rFonts w:cstheme="minorBidi"/>
        </w:rPr>
      </w:pPr>
      <w:r>
        <w:rPr>
          <w:rFonts w:cs="方正书宋_GBK" w:hint="eastAsia"/>
          <w:spacing w:val="2"/>
        </w:rPr>
        <w:t>然而，现有研究在多类型公共服务设施分析中仍存在两方面关键局限。其一，不同类型设施通常被分别测算，缺乏统一参数框架，导致结果虽能描述单类服务分布，却难以在同一尺度下进行横向比较，从而削弱了对城市整体服务结构的解释能力。其二，传统两步移动搜索法（</w:t>
      </w:r>
      <w:r>
        <w:rPr>
          <w:spacing w:val="2"/>
        </w:rPr>
        <w:t>2SFCA</w:t>
      </w:r>
      <w:r>
        <w:rPr>
          <w:rFonts w:cs="方正书宋_GBK" w:hint="eastAsia"/>
          <w:spacing w:val="2"/>
        </w:rPr>
        <w:t>）虽然因兼顾供需平衡与计算可行性而被广泛应用，但其依赖固定服务半径与二值距离阈值，即在服务范围内视为完全可达、范围外视为不可达。这种</w:t>
      </w:r>
      <w:r>
        <w:rPr>
          <w:rFonts w:ascii="方正书宋_GBK" w:cs="方正书宋_GBK" w:hint="eastAsia"/>
          <w:spacing w:val="2"/>
        </w:rPr>
        <w:t>“</w:t>
      </w:r>
      <w:r>
        <w:rPr>
          <w:rFonts w:cs="方正书宋_GBK" w:hint="eastAsia"/>
          <w:spacing w:val="2"/>
        </w:rPr>
        <w:t>覆盖</w:t>
      </w:r>
      <w:r>
        <w:t>-</w:t>
      </w:r>
      <w:r>
        <w:rPr>
          <w:rFonts w:cs="方正书宋_GBK" w:hint="eastAsia"/>
        </w:rPr>
        <w:t>不覆盖</w:t>
      </w:r>
      <w:r>
        <w:rPr>
          <w:rFonts w:ascii="方正书宋_GBK" w:cs="方正书宋_GBK" w:hint="eastAsia"/>
        </w:rPr>
        <w:t>”</w:t>
      </w:r>
      <w:r>
        <w:rPr>
          <w:rFonts w:cs="方正书宋_GBK" w:hint="eastAsia"/>
        </w:rPr>
        <w:t>的判定方式忽略了服务影响随距离连续衰减的客观规律，容易在城市边缘及低密度区域产生大量零值或近零值结果，从而低估外围区域的实际服务水平</w:t>
      </w:r>
      <w:r>
        <w:rPr>
          <w:vertAlign w:val="superscript"/>
        </w:rPr>
        <w:t>[14,15]</w:t>
      </w:r>
      <w:r>
        <w:rPr>
          <w:rFonts w:cs="方正书宋_GBK" w:hint="eastAsia"/>
        </w:rPr>
        <w:t>。</w:t>
      </w:r>
    </w:p>
    <w:p w:rsidR="00B158E6" w:rsidRDefault="00B158E6">
      <w:pPr>
        <w:rPr>
          <w:rFonts w:cstheme="minorBidi"/>
        </w:rPr>
      </w:pPr>
      <w:r>
        <w:rPr>
          <w:rFonts w:cs="方正书宋_GBK" w:hint="eastAsia"/>
        </w:rPr>
        <w:t>以上局限在北京市城市环境下尤为明显。北京内部存在显著的核心</w:t>
      </w:r>
      <w:r>
        <w:t>-</w:t>
      </w:r>
      <w:r>
        <w:rPr>
          <w:rFonts w:cs="方正书宋_GBK" w:hint="eastAsia"/>
        </w:rPr>
        <w:t>外围结构，中心城区设施密集、人口活动高度集聚，而外围地区设施布局相对稀疏、通勤距离较长。若仍采用固定阈值与统一服务范围，不仅会夸大中心区优势，也会低估边缘区域通过次级设施获得服务的可能性</w:t>
      </w:r>
      <w:r>
        <w:rPr>
          <w:vertAlign w:val="superscript"/>
        </w:rPr>
        <w:t>[16]</w:t>
      </w:r>
      <w:r>
        <w:rPr>
          <w:rFonts w:cs="方正书宋_GBK" w:hint="eastAsia"/>
        </w:rPr>
        <w:t>。尤其当研究对象扩展为教育、医疗、交通、商业购物、生活服务与休闲娱乐等六类设施时，不同设施在服务覆盖尺度、供给能力、使用频率及空间吸引力方面差异显著，若采用统一半径或统一衰减机制，既难以体现设施层级差异，也难以准确刻画城市公共服务的复合结构</w:t>
      </w:r>
      <w:r>
        <w:rPr>
          <w:vertAlign w:val="superscript"/>
        </w:rPr>
        <w:t>[17–20]</w:t>
      </w:r>
      <w:r>
        <w:rPr>
          <w:rFonts w:cs="方正书宋_GBK" w:hint="eastAsia"/>
        </w:rPr>
        <w:t>。</w:t>
      </w:r>
    </w:p>
    <w:p w:rsidR="00B158E6" w:rsidRDefault="00B158E6">
      <w:pPr>
        <w:rPr>
          <w:rFonts w:cstheme="minorBidi"/>
        </w:rPr>
      </w:pPr>
      <w:r>
        <w:rPr>
          <w:rFonts w:cs="方正书宋_GBK" w:hint="eastAsia"/>
          <w:spacing w:val="2"/>
        </w:rPr>
        <w:t>在此背景下，多半径高斯两步移动搜索模型（</w:t>
      </w:r>
      <w:r>
        <w:rPr>
          <w:spacing w:val="2"/>
        </w:rPr>
        <w:t>MRGS2SFCA</w:t>
      </w:r>
      <w:r>
        <w:rPr>
          <w:rFonts w:cs="方正书宋_GBK" w:hint="eastAsia"/>
          <w:spacing w:val="2"/>
        </w:rPr>
        <w:t>）为复杂城市中的公共服务可达性分析提供了更具解释力的方法路径。相较于传统</w:t>
      </w:r>
      <w:r>
        <w:rPr>
          <w:spacing w:val="2"/>
        </w:rPr>
        <w:t>2SFCA</w:t>
      </w:r>
      <w:r>
        <w:rPr>
          <w:rFonts w:cs="方正书宋_GBK" w:hint="eastAsia"/>
          <w:spacing w:val="2"/>
        </w:rPr>
        <w:t>，</w:t>
      </w:r>
      <w:r>
        <w:rPr>
          <w:spacing w:val="2"/>
        </w:rPr>
        <w:t>MRGS2SFCA</w:t>
      </w:r>
      <w:r>
        <w:rPr>
          <w:rFonts w:cs="方正书宋_GBK" w:hint="eastAsia"/>
          <w:spacing w:val="2"/>
        </w:rPr>
        <w:t>通过引入高斯距离衰减函数、多层级服务半径及差异化设施权重，对传统模型进行了结构性改</w:t>
      </w:r>
      <w:r>
        <w:rPr>
          <w:rFonts w:cs="方正书宋_GBK" w:hint="eastAsia"/>
          <w:spacing w:val="2"/>
        </w:rPr>
        <w:lastRenderedPageBreak/>
        <w:t>进。该模型将可达性从</w:t>
      </w:r>
      <w:r>
        <w:rPr>
          <w:rFonts w:ascii="方正书宋_GBK" w:cs="方正书宋_GBK" w:hint="eastAsia"/>
          <w:spacing w:val="2"/>
        </w:rPr>
        <w:t>“</w:t>
      </w:r>
      <w:r>
        <w:rPr>
          <w:rFonts w:cs="方正书宋_GBK" w:hint="eastAsia"/>
          <w:spacing w:val="2"/>
        </w:rPr>
        <w:t>是否覆盖</w:t>
      </w:r>
      <w:r>
        <w:rPr>
          <w:rFonts w:ascii="方正书宋_GBK" w:cs="方正书宋_GBK" w:hint="eastAsia"/>
          <w:spacing w:val="2"/>
        </w:rPr>
        <w:t>”</w:t>
      </w:r>
      <w:r>
        <w:rPr>
          <w:rFonts w:cs="方正书宋_GBK" w:hint="eastAsia"/>
          <w:spacing w:val="2"/>
        </w:rPr>
        <w:t>的二值判定转化为</w:t>
      </w:r>
      <w:r>
        <w:rPr>
          <w:rFonts w:ascii="方正书宋_GBK" w:cs="方正书宋_GBK" w:hint="eastAsia"/>
          <w:spacing w:val="2"/>
        </w:rPr>
        <w:t>“</w:t>
      </w:r>
      <w:r>
        <w:rPr>
          <w:rFonts w:cs="方正书宋_GBK" w:hint="eastAsia"/>
          <w:spacing w:val="2"/>
        </w:rPr>
        <w:t>随距离连续变化</w:t>
      </w:r>
      <w:r>
        <w:rPr>
          <w:rFonts w:ascii="方正书宋_GBK" w:cs="方正书宋_GBK" w:hint="eastAsia"/>
          <w:spacing w:val="2"/>
        </w:rPr>
        <w:t>”</w:t>
      </w:r>
      <w:r>
        <w:rPr>
          <w:rFonts w:cs="方正书宋_GBK" w:hint="eastAsia"/>
          <w:spacing w:val="2"/>
        </w:rPr>
        <w:t>的权重过程，有效缓解了固定阈值带来的截断效应；同时通过多尺度服务范围刻画不同等级设施的空间影响，并结合分级权重反映设施服务能力差异，从而更真实地描述城市内部服务供给与需求之间的空间交互关系。总体来看，</w:t>
      </w:r>
      <w:r>
        <w:rPr>
          <w:spacing w:val="2"/>
        </w:rPr>
        <w:t>MRGS2SFCA</w:t>
      </w:r>
      <w:r>
        <w:rPr>
          <w:rFonts w:cs="方正书宋_GBK" w:hint="eastAsia"/>
          <w:spacing w:val="2"/>
        </w:rPr>
        <w:t>为北京市多类型公共服务设施供需分析提供了</w:t>
      </w:r>
      <w:r>
        <w:rPr>
          <w:rFonts w:cs="方正书宋_GBK" w:hint="eastAsia"/>
        </w:rPr>
        <w:t>更加适宜的方法基础，也为揭示其空间异质性与供需不匹配格局提供了新的分析框架。</w:t>
      </w:r>
    </w:p>
    <w:p w:rsidR="00B158E6" w:rsidRDefault="00B158E6">
      <w:pPr>
        <w:pStyle w:val="3"/>
        <w:rPr>
          <w:rFonts w:cstheme="minorBidi"/>
          <w:b w:val="0"/>
          <w:bCs w:val="0"/>
        </w:rPr>
      </w:pPr>
      <w:r>
        <w:t xml:space="preserve">2  </w:t>
      </w:r>
      <w:r>
        <w:rPr>
          <w:rFonts w:cs="方正书宋_GBK" w:hint="eastAsia"/>
        </w:rPr>
        <w:t>研究方法</w:t>
      </w:r>
    </w:p>
    <w:p w:rsidR="00B158E6" w:rsidRDefault="00B158E6">
      <w:pPr>
        <w:pStyle w:val="40"/>
        <w:rPr>
          <w:rFonts w:cstheme="minorBidi"/>
        </w:rPr>
      </w:pPr>
      <w:r>
        <w:rPr>
          <w:b/>
          <w:bCs/>
        </w:rPr>
        <w:t xml:space="preserve">2.1 </w:t>
      </w:r>
      <w:r>
        <w:t xml:space="preserve"> </w:t>
      </w:r>
      <w:r>
        <w:rPr>
          <w:rFonts w:cs="黑体" w:hint="eastAsia"/>
        </w:rPr>
        <w:t>研究思路</w:t>
      </w:r>
    </w:p>
    <w:p w:rsidR="00B158E6" w:rsidRDefault="00B158E6">
      <w:pPr>
        <w:spacing w:line="274" w:lineRule="auto"/>
        <w:jc w:val="distribute"/>
        <w:rPr>
          <w:spacing w:val="2"/>
        </w:rPr>
      </w:pPr>
      <w:r>
        <w:rPr>
          <w:rFonts w:cs="方正书宋_GBK" w:hint="eastAsia"/>
        </w:rPr>
        <w:t>本</w:t>
      </w:r>
      <w:r>
        <w:rPr>
          <w:rFonts w:cs="方正书宋_GBK" w:hint="eastAsia"/>
          <w:spacing w:val="2"/>
        </w:rPr>
        <w:t>研究以北京市</w:t>
      </w:r>
      <w:r>
        <w:rPr>
          <w:spacing w:val="2"/>
        </w:rPr>
        <w:t>16</w:t>
      </w:r>
      <w:r>
        <w:rPr>
          <w:rFonts w:cs="方正书宋_GBK" w:hint="eastAsia"/>
          <w:spacing w:val="2"/>
        </w:rPr>
        <w:t>个区为研究范围，围绕公共服务设施供需关系的空间刻画，构建了一个融合多源数据与多方法分析的研究框架（图</w:t>
      </w:r>
      <w:r>
        <w:rPr>
          <w:spacing w:val="2"/>
        </w:rPr>
        <w:t>1</w:t>
      </w:r>
      <w:r>
        <w:rPr>
          <w:rFonts w:cs="方正书宋_GBK" w:hint="eastAsia"/>
          <w:spacing w:val="2"/>
        </w:rPr>
        <w:t>）。首先，整合人口数据、路网数据、建筑轮廓数据和六类公共服务设施</w:t>
      </w:r>
      <w:r>
        <w:rPr>
          <w:spacing w:val="2"/>
        </w:rPr>
        <w:t>POI</w:t>
      </w:r>
      <w:r>
        <w:rPr>
          <w:rFonts w:cs="方正书宋_GBK" w:hint="eastAsia"/>
          <w:spacing w:val="2"/>
        </w:rPr>
        <w:t>数据，并依据北京市行政边界与建成区范围进行统一裁剪和预处理；在此基础上，以道路分割建成区形成地块单元，并筛选人口数量大于</w:t>
      </w:r>
      <w:r>
        <w:rPr>
          <w:spacing w:val="2"/>
        </w:rPr>
        <w:t>100</w:t>
      </w:r>
      <w:r>
        <w:rPr>
          <w:rFonts w:cs="方正书宋_GBK" w:hint="eastAsia"/>
          <w:spacing w:val="2"/>
        </w:rPr>
        <w:t>的地块作为研究对象，以保证分析单元能够真实反映居民活动与服务需求。其次，对</w:t>
      </w:r>
      <w:r>
        <w:rPr>
          <w:spacing w:val="2"/>
        </w:rPr>
        <w:t>POI</w:t>
      </w:r>
      <w:r>
        <w:rPr>
          <w:rFonts w:cs="方正书宋_GBK" w:hint="eastAsia"/>
          <w:spacing w:val="2"/>
        </w:rPr>
        <w:t>数据进行语义清洗与分类整合，将其划分为教育、医疗、交通、商业购物、生活服务和休闲娱乐六类设施，并结合设施服务范围、服务对象和供给能力构建层级参数体系。随后，在空间分析阶段，综合采用建成区分析、核密度分析和多半径高斯两步移动搜索法（</w:t>
      </w:r>
      <w:r>
        <w:rPr>
          <w:spacing w:val="2"/>
        </w:rPr>
        <w:t>MRGS2SFCA</w:t>
      </w:r>
      <w:r>
        <w:rPr>
          <w:rFonts w:cs="方正书宋_GBK" w:hint="eastAsia"/>
          <w:spacing w:val="2"/>
        </w:rPr>
        <w:t>）对北京市公共服务设施进行研究：其中，建成区分析用于界定有效研究空间，核密度分析用于揭示六类设施的空间集聚格局，</w:t>
      </w:r>
      <w:r>
        <w:rPr>
          <w:spacing w:val="2"/>
        </w:rPr>
        <w:t>MRGS2SFCA</w:t>
      </w:r>
      <w:r>
        <w:rPr>
          <w:rFonts w:cs="方正书宋_GBK" w:hint="eastAsia"/>
          <w:spacing w:val="2"/>
        </w:rPr>
        <w:t>模型用于测度不同设施在统一空间尺度下的可达性及供需匹配关系。最后，从六类公共</w:t>
      </w:r>
      <w:r>
        <w:rPr>
          <w:rFonts w:cs="方正书宋_GBK" w:hint="eastAsia"/>
        </w:rPr>
        <w:t>服务设施的分布特征、可达性格局及</w:t>
      </w:r>
      <w:r>
        <w:t>MRGS2SFCA</w:t>
      </w:r>
      <w:r>
        <w:rPr>
          <w:rFonts w:cs="方正书宋_GBK" w:hint="eastAsia"/>
        </w:rPr>
        <w:t>模型在北京多类型设施研究中的适用性三个方面，对研究结果进行综合分析与评价，从而为北京市公共服务设施优化配置和精细化治理提供</w:t>
      </w:r>
      <w:r>
        <w:rPr>
          <w:spacing w:val="2"/>
        </w:rPr>
        <w:t xml:space="preserve"> </w:t>
      </w:r>
    </w:p>
    <w:p w:rsidR="00B158E6" w:rsidRDefault="00B158E6">
      <w:pPr>
        <w:ind w:firstLine="0"/>
        <w:jc w:val="center"/>
        <w:rPr>
          <w:rFonts w:cstheme="minorBidi"/>
        </w:rPr>
      </w:pPr>
    </w:p>
    <w:p w:rsidR="00B158E6" w:rsidRDefault="009A1B3A">
      <w:pPr>
        <w:ind w:firstLine="0"/>
        <w:jc w:val="center"/>
        <w:rPr>
          <w:rFonts w:cstheme="minorBidi"/>
          <w:sz w:val="18"/>
          <w:szCs w:val="18"/>
        </w:rPr>
      </w:pPr>
      <w:r w:rsidRPr="00C92DA1">
        <w:rPr>
          <w:rFonts w:cstheme="minorBidi"/>
          <w:noProof/>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202.5pt">
            <v:imagedata r:id="rId7" o:title=""/>
          </v:shape>
        </w:pict>
      </w:r>
    </w:p>
    <w:p w:rsidR="00B158E6" w:rsidRDefault="00B158E6">
      <w:pPr>
        <w:ind w:firstLine="0"/>
        <w:jc w:val="center"/>
        <w:rPr>
          <w:rFonts w:cstheme="minorBidi"/>
          <w:sz w:val="10"/>
          <w:szCs w:val="10"/>
        </w:rPr>
      </w:pPr>
    </w:p>
    <w:p w:rsidR="00B158E6" w:rsidRDefault="00B158E6">
      <w:pPr>
        <w:ind w:firstLine="0"/>
        <w:jc w:val="center"/>
        <w:rPr>
          <w:rFonts w:cstheme="minorBidi"/>
          <w:sz w:val="18"/>
          <w:szCs w:val="18"/>
        </w:rPr>
      </w:pPr>
      <w:r>
        <w:rPr>
          <w:rFonts w:cs="方正书宋_GBK" w:hint="eastAsia"/>
          <w:sz w:val="18"/>
          <w:szCs w:val="18"/>
        </w:rPr>
        <w:t>图</w:t>
      </w:r>
      <w:r>
        <w:rPr>
          <w:sz w:val="18"/>
          <w:szCs w:val="18"/>
        </w:rPr>
        <w:t xml:space="preserve">1  </w:t>
      </w:r>
      <w:r>
        <w:rPr>
          <w:rFonts w:cs="方正书宋_GBK" w:hint="eastAsia"/>
          <w:sz w:val="18"/>
          <w:szCs w:val="18"/>
        </w:rPr>
        <w:t>研究技术路线图</w:t>
      </w:r>
    </w:p>
    <w:p w:rsidR="00B158E6" w:rsidRDefault="00B158E6">
      <w:pPr>
        <w:ind w:firstLine="0"/>
        <w:rPr>
          <w:rStyle w:val="a8"/>
          <w:rFonts w:cstheme="minorBidi"/>
        </w:rPr>
      </w:pPr>
      <w:r>
        <w:rPr>
          <w:rFonts w:cs="方正书宋_GBK" w:hint="eastAsia"/>
        </w:rPr>
        <w:lastRenderedPageBreak/>
        <w:t>方法支撑。</w:t>
      </w:r>
    </w:p>
    <w:p w:rsidR="00B158E6" w:rsidRDefault="00B158E6">
      <w:pPr>
        <w:pStyle w:val="40"/>
        <w:rPr>
          <w:rFonts w:cstheme="minorBidi"/>
        </w:rPr>
      </w:pPr>
      <w:r>
        <w:rPr>
          <w:b/>
          <w:bCs/>
        </w:rPr>
        <w:t>2.2</w:t>
      </w:r>
      <w:r>
        <w:t xml:space="preserve">  </w:t>
      </w:r>
      <w:r>
        <w:rPr>
          <w:rFonts w:cs="黑体" w:hint="eastAsia"/>
        </w:rPr>
        <w:t>数据采集与预处理</w:t>
      </w:r>
    </w:p>
    <w:p w:rsidR="00B158E6" w:rsidRDefault="00B158E6">
      <w:pPr>
        <w:spacing w:before="40" w:after="40" w:line="276" w:lineRule="auto"/>
        <w:ind w:firstLine="0"/>
        <w:rPr>
          <w:rStyle w:val="a8"/>
          <w:rFonts w:cstheme="minorBidi"/>
          <w:b w:val="0"/>
          <w:bCs w:val="0"/>
        </w:rPr>
      </w:pPr>
      <w:r>
        <w:rPr>
          <w:rStyle w:val="a8"/>
        </w:rPr>
        <w:t xml:space="preserve">2.2.1 </w:t>
      </w:r>
      <w:r>
        <w:rPr>
          <w:rStyle w:val="a8"/>
          <w:b w:val="0"/>
          <w:bCs w:val="0"/>
        </w:rPr>
        <w:t xml:space="preserve"> </w:t>
      </w:r>
      <w:r>
        <w:rPr>
          <w:rStyle w:val="a8"/>
          <w:rFonts w:hAnsi="黑体" w:cs="方正书宋_GBK" w:hint="eastAsia"/>
          <w:b w:val="0"/>
          <w:bCs w:val="0"/>
        </w:rPr>
        <w:t>城市边界与建成区提取</w:t>
      </w:r>
    </w:p>
    <w:p w:rsidR="00B158E6" w:rsidRDefault="00B158E6">
      <w:pPr>
        <w:spacing w:line="276" w:lineRule="auto"/>
        <w:rPr>
          <w:rFonts w:cstheme="minorBidi"/>
        </w:rPr>
      </w:pPr>
      <w:r>
        <w:rPr>
          <w:rFonts w:cs="方正书宋_GBK" w:hint="eastAsia"/>
        </w:rPr>
        <w:t>本研究所使用的基础数据包括行政边界数据、人口数据、道路网络数据及多源遥感影像数据。北京市行政边界矢量数据来源于</w:t>
      </w:r>
      <w:bookmarkStart w:id="5" w:name="OLE_LINK24"/>
      <w:r>
        <w:rPr>
          <w:rFonts w:cs="方正书宋_GBK" w:hint="eastAsia"/>
        </w:rPr>
        <w:t>国家地理信息公共服务平台</w:t>
      </w:r>
      <w:bookmarkEnd w:id="5"/>
      <w:r>
        <w:rPr>
          <w:rStyle w:val="a7"/>
          <w:rFonts w:cstheme="minorBidi"/>
        </w:rPr>
        <w:footnoteReference w:id="2"/>
      </w:r>
      <w:r>
        <w:rPr>
          <w:rFonts w:cs="方正书宋_GBK" w:hint="eastAsia"/>
        </w:rPr>
        <w:t>，访问日期为</w:t>
      </w:r>
      <w:r>
        <w:t>2026</w:t>
      </w:r>
      <w:r>
        <w:rPr>
          <w:rFonts w:cs="方正书宋_GBK" w:hint="eastAsia"/>
        </w:rPr>
        <w:t>年</w:t>
      </w:r>
      <w:r>
        <w:t>2</w:t>
      </w:r>
      <w:r>
        <w:rPr>
          <w:rFonts w:cs="方正书宋_GBK" w:hint="eastAsia"/>
        </w:rPr>
        <w:t>月</w:t>
      </w:r>
      <w:r>
        <w:t>2</w:t>
      </w:r>
      <w:r>
        <w:rPr>
          <w:rFonts w:cs="方正书宋_GBK" w:hint="eastAsia"/>
        </w:rPr>
        <w:t>日，用于界定研究区域范围及相关空间数据裁剪。北京市建成区边界数据由住房和城乡建设部遥感应用中心提供，为应用于</w:t>
      </w:r>
      <w:r>
        <w:t>2025</w:t>
      </w:r>
      <w:r>
        <w:rPr>
          <w:rFonts w:cs="方正书宋_GBK" w:hint="eastAsia"/>
        </w:rPr>
        <w:t>年度城市体检工作的建成区边界成果，用于确定本研究的有效城市建成空间。</w:t>
      </w:r>
    </w:p>
    <w:p w:rsidR="00B158E6" w:rsidRDefault="00B158E6">
      <w:pPr>
        <w:spacing w:line="276" w:lineRule="auto"/>
        <w:rPr>
          <w:rFonts w:cstheme="minorBidi"/>
        </w:rPr>
      </w:pPr>
      <w:r>
        <w:rPr>
          <w:rFonts w:cs="方正书宋_GBK" w:hint="eastAsia"/>
          <w:spacing w:val="-1"/>
        </w:rPr>
        <w:t>为保证不同数据之间的空间一致性，对行政边界、建成区边界、人口、道路网络及</w:t>
      </w:r>
      <w:r>
        <w:rPr>
          <w:spacing w:val="-1"/>
        </w:rPr>
        <w:t>POI</w:t>
      </w:r>
      <w:r>
        <w:rPr>
          <w:rFonts w:cs="方正书宋_GBK" w:hint="eastAsia"/>
          <w:spacing w:val="-1"/>
        </w:rPr>
        <w:t>等数据进行统一坐标转换和空间匹配，并统一至</w:t>
      </w:r>
      <w:r>
        <w:rPr>
          <w:spacing w:val="-1"/>
        </w:rPr>
        <w:t>CGCS2000 3 Degree GK CM 117E</w:t>
      </w:r>
      <w:r>
        <w:rPr>
          <w:rFonts w:cs="方正书宋_GBK" w:hint="eastAsia"/>
          <w:spacing w:val="-1"/>
        </w:rPr>
        <w:t>坐标系统。在此基础上，将道路网络与建成区进行叠加，并利用道路分割形成城市“地块”单元；随后，将人口数据关联至地块属性表，并筛选人口数量大于</w:t>
      </w:r>
      <w:r>
        <w:rPr>
          <w:spacing w:val="-1"/>
        </w:rPr>
        <w:t>100</w:t>
      </w:r>
      <w:r>
        <w:rPr>
          <w:rFonts w:cs="方正书宋_GBK" w:hint="eastAsia"/>
          <w:spacing w:val="-1"/>
        </w:rPr>
        <w:t>的地块作为最终研究对象</w:t>
      </w:r>
      <w:r>
        <w:rPr>
          <w:spacing w:val="-1"/>
          <w:vertAlign w:val="superscript"/>
        </w:rPr>
        <w:t>[21]</w:t>
      </w:r>
      <w:r>
        <w:rPr>
          <w:rFonts w:cs="方正书宋_GBK" w:hint="eastAsia"/>
        </w:rPr>
        <w:t>于住房城乡建设部历史文化遗产监测重点实验室中完成。</w:t>
      </w:r>
    </w:p>
    <w:p w:rsidR="00B158E6" w:rsidRDefault="00B158E6">
      <w:pPr>
        <w:spacing w:before="40" w:after="40"/>
        <w:ind w:firstLine="0"/>
        <w:rPr>
          <w:rStyle w:val="a8"/>
          <w:rFonts w:cstheme="minorBidi"/>
          <w:b w:val="0"/>
          <w:bCs w:val="0"/>
        </w:rPr>
      </w:pPr>
      <w:r>
        <w:rPr>
          <w:rStyle w:val="a8"/>
        </w:rPr>
        <w:t xml:space="preserve">2.2.2  </w:t>
      </w:r>
      <w:r>
        <w:rPr>
          <w:rStyle w:val="a8"/>
          <w:rFonts w:hAnsi="黑体" w:cs="方正书宋_GBK" w:hint="eastAsia"/>
          <w:b w:val="0"/>
          <w:bCs w:val="0"/>
        </w:rPr>
        <w:t>道路网络</w:t>
      </w:r>
    </w:p>
    <w:p w:rsidR="00B158E6" w:rsidRDefault="00B158E6">
      <w:pPr>
        <w:spacing w:line="276" w:lineRule="auto"/>
        <w:rPr>
          <w:rFonts w:cstheme="minorBidi"/>
        </w:rPr>
      </w:pPr>
      <w:r>
        <w:rPr>
          <w:rFonts w:cs="方正书宋_GBK" w:hint="eastAsia"/>
        </w:rPr>
        <w:t>本研究中道路网络数据来源于</w:t>
      </w:r>
      <w:r>
        <w:t>OpenStreetMap</w:t>
      </w:r>
      <w:r>
        <w:rPr>
          <w:rStyle w:val="a7"/>
          <w:rFonts w:cstheme="minorBidi"/>
        </w:rPr>
        <w:footnoteReference w:id="3"/>
      </w:r>
      <w:r>
        <w:rPr>
          <w:rFonts w:cs="方正书宋_GBK" w:hint="eastAsia"/>
        </w:rPr>
        <w:t>，访问日期为</w:t>
      </w:r>
      <w:r>
        <w:t>2026</w:t>
      </w:r>
      <w:r>
        <w:rPr>
          <w:rFonts w:cs="方正书宋_GBK" w:hint="eastAsia"/>
        </w:rPr>
        <w:t>年</w:t>
      </w:r>
      <w:r>
        <w:t>4</w:t>
      </w:r>
      <w:r>
        <w:rPr>
          <w:rFonts w:cs="方正书宋_GBK" w:hint="eastAsia"/>
        </w:rPr>
        <w:t>月</w:t>
      </w:r>
      <w:r>
        <w:t>2</w:t>
      </w:r>
      <w:r>
        <w:rPr>
          <w:rFonts w:cs="方正书宋_GBK" w:hint="eastAsia"/>
        </w:rPr>
        <w:t>日。首先，从该平台获取北京市道路网络的矢量数据，并依据北京市行政边界对数据进行裁剪，以提取研究区范围内的道路信息。随后，根据道路属性字段对道路要素进行整理，将双线道路合并为单线表示，以提高网络结构的一致性。</w:t>
      </w:r>
    </w:p>
    <w:p w:rsidR="00B158E6" w:rsidRDefault="00B158E6">
      <w:pPr>
        <w:spacing w:line="276" w:lineRule="auto"/>
        <w:rPr>
          <w:rFonts w:cstheme="minorBidi"/>
        </w:rPr>
      </w:pPr>
      <w:r>
        <w:rPr>
          <w:rFonts w:cs="方正书宋_GBK" w:hint="eastAsia"/>
        </w:rPr>
        <w:t>在数据预处理过程中，构建了道路网络拓扑规则，对数据进行拓扑检查与修复，以消除孤立道路段、悬挂节点及断裂连接等问题，从而保证道路网络的连通性与分析可靠性。</w:t>
      </w:r>
    </w:p>
    <w:p w:rsidR="00B158E6" w:rsidRDefault="00B158E6">
      <w:pPr>
        <w:spacing w:before="40" w:after="40" w:line="276" w:lineRule="auto"/>
        <w:ind w:firstLine="0"/>
        <w:rPr>
          <w:rStyle w:val="a8"/>
          <w:rFonts w:cstheme="minorBidi"/>
          <w:b w:val="0"/>
          <w:bCs w:val="0"/>
        </w:rPr>
      </w:pPr>
      <w:r>
        <w:rPr>
          <w:rStyle w:val="a8"/>
        </w:rPr>
        <w:t xml:space="preserve">2.2.3 </w:t>
      </w:r>
      <w:r>
        <w:rPr>
          <w:rStyle w:val="a8"/>
          <w:b w:val="0"/>
          <w:bCs w:val="0"/>
        </w:rPr>
        <w:t xml:space="preserve"> </w:t>
      </w:r>
      <w:r>
        <w:rPr>
          <w:rStyle w:val="a8"/>
          <w:rFonts w:hAnsi="黑体" w:cs="方正书宋_GBK" w:hint="eastAsia"/>
          <w:b w:val="0"/>
          <w:bCs w:val="0"/>
        </w:rPr>
        <w:t>人口数据</w:t>
      </w:r>
    </w:p>
    <w:p w:rsidR="00B158E6" w:rsidRDefault="00B158E6">
      <w:pPr>
        <w:spacing w:line="276" w:lineRule="auto"/>
        <w:rPr>
          <w:rFonts w:cstheme="minorBidi"/>
        </w:rPr>
      </w:pPr>
      <w:r>
        <w:rPr>
          <w:rFonts w:cs="方正书宋_GBK" w:hint="eastAsia"/>
        </w:rPr>
        <w:t>人口数据来源于</w:t>
      </w:r>
      <w:r>
        <w:t>WorldPop</w:t>
      </w:r>
      <w:r>
        <w:rPr>
          <w:rStyle w:val="a7"/>
          <w:rFonts w:cstheme="minorBidi"/>
        </w:rPr>
        <w:footnoteReference w:id="4"/>
      </w:r>
      <w:r>
        <w:rPr>
          <w:rFonts w:cs="方正书宋_GBK" w:hint="eastAsia"/>
        </w:rPr>
        <w:t>，访问日期为</w:t>
      </w:r>
      <w:r>
        <w:t>2026</w:t>
      </w:r>
      <w:r>
        <w:rPr>
          <w:rFonts w:cs="方正书宋_GBK" w:hint="eastAsia"/>
        </w:rPr>
        <w:t>年</w:t>
      </w:r>
      <w:r>
        <w:t>4</w:t>
      </w:r>
      <w:r>
        <w:rPr>
          <w:rFonts w:cs="方正书宋_GBK" w:hint="eastAsia"/>
        </w:rPr>
        <w:t>月</w:t>
      </w:r>
      <w:r>
        <w:t>2</w:t>
      </w:r>
      <w:r>
        <w:rPr>
          <w:rFonts w:cs="方正书宋_GBK" w:hint="eastAsia"/>
        </w:rPr>
        <w:t>日，采用联合国校正的</w:t>
      </w:r>
      <w:r>
        <w:rPr>
          <w:rFonts w:ascii="方正书宋_GBK" w:cs="方正书宋_GBK" w:hint="eastAsia"/>
        </w:rPr>
        <w:t>“</w:t>
      </w:r>
      <w:r>
        <w:t>Unconstrained</w:t>
      </w:r>
      <w:r>
        <w:rPr>
          <w:rFonts w:ascii="方正书宋_GBK" w:cs="方正书宋_GBK" w:hint="eastAsia"/>
        </w:rPr>
        <w:t>”</w:t>
      </w:r>
      <w:r>
        <w:rPr>
          <w:rFonts w:cs="方正书宋_GBK" w:hint="eastAsia"/>
        </w:rPr>
        <w:t>数据产品，空间分辨率为</w:t>
      </w:r>
      <w:r>
        <w:t>100 m×100 m</w:t>
      </w:r>
      <w:r>
        <w:rPr>
          <w:rFonts w:cs="方正书宋_GBK" w:hint="eastAsia"/>
        </w:rPr>
        <w:t>。数据首先投影至</w:t>
      </w:r>
      <w:r>
        <w:t>CGCS2000 3 Degree GK CM 117E</w:t>
      </w:r>
      <w:r>
        <w:rPr>
          <w:rFonts w:cs="方正书宋_GBK" w:hint="eastAsia"/>
        </w:rPr>
        <w:t>坐标系统，并依据北京市行政边界进行裁剪，以保证与研究区空间范围一致。</w:t>
      </w:r>
    </w:p>
    <w:p w:rsidR="00B158E6" w:rsidRDefault="00B158E6">
      <w:pPr>
        <w:spacing w:line="276" w:lineRule="auto"/>
        <w:rPr>
          <w:rFonts w:cstheme="minorBidi"/>
        </w:rPr>
      </w:pPr>
      <w:r>
        <w:rPr>
          <w:rFonts w:cs="方正书宋_GBK" w:hint="eastAsia"/>
        </w:rPr>
        <w:t>随后，将人口栅格数据通过空间叠加方法映射至地块单元，实现人口数据与空间分析单元的一致化表达。</w:t>
      </w:r>
    </w:p>
    <w:p w:rsidR="00B158E6" w:rsidRDefault="00B158E6">
      <w:pPr>
        <w:spacing w:before="40" w:after="40" w:line="276" w:lineRule="auto"/>
        <w:ind w:firstLine="0"/>
        <w:rPr>
          <w:rStyle w:val="a8"/>
          <w:rFonts w:cstheme="minorBidi"/>
          <w:b w:val="0"/>
          <w:bCs w:val="0"/>
        </w:rPr>
      </w:pPr>
      <w:r>
        <w:rPr>
          <w:rStyle w:val="a8"/>
        </w:rPr>
        <w:t xml:space="preserve">2.2.4 </w:t>
      </w:r>
      <w:r>
        <w:rPr>
          <w:rStyle w:val="a8"/>
          <w:b w:val="0"/>
          <w:bCs w:val="0"/>
        </w:rPr>
        <w:t xml:space="preserve"> POI</w:t>
      </w:r>
      <w:r>
        <w:rPr>
          <w:rStyle w:val="a8"/>
          <w:rFonts w:cs="方正书宋_GBK" w:hint="eastAsia"/>
          <w:b w:val="0"/>
          <w:bCs w:val="0"/>
        </w:rPr>
        <w:t>数据</w:t>
      </w:r>
    </w:p>
    <w:p w:rsidR="00B158E6" w:rsidRDefault="00B158E6">
      <w:pPr>
        <w:spacing w:line="276" w:lineRule="auto"/>
        <w:rPr>
          <w:rFonts w:cstheme="minorBidi"/>
        </w:rPr>
      </w:pPr>
      <w:r>
        <w:rPr>
          <w:rFonts w:cs="方正书宋_GBK" w:hint="eastAsia"/>
        </w:rPr>
        <w:t>本研究中公共服务设施数据来源于</w:t>
      </w:r>
      <w:r>
        <w:t>Amap</w:t>
      </w:r>
      <w:r>
        <w:rPr>
          <w:rFonts w:cs="方正书宋_GBK" w:hint="eastAsia"/>
        </w:rPr>
        <w:t>开放平台</w:t>
      </w:r>
      <w:r>
        <w:rPr>
          <w:rStyle w:val="a7"/>
          <w:rFonts w:cstheme="minorBidi"/>
        </w:rPr>
        <w:footnoteReference w:id="5"/>
      </w:r>
      <w:r>
        <w:rPr>
          <w:rFonts w:cs="方正书宋_GBK" w:hint="eastAsia"/>
        </w:rPr>
        <w:t>，访问于</w:t>
      </w:r>
      <w:r>
        <w:t>2026</w:t>
      </w:r>
      <w:r>
        <w:rPr>
          <w:rFonts w:cs="方正书宋_GBK" w:hint="eastAsia"/>
        </w:rPr>
        <w:t>年</w:t>
      </w:r>
      <w:r>
        <w:t>4</w:t>
      </w:r>
      <w:r>
        <w:rPr>
          <w:rFonts w:cs="方正书宋_GBK" w:hint="eastAsia"/>
        </w:rPr>
        <w:t>月</w:t>
      </w:r>
      <w:r>
        <w:t>2</w:t>
      </w:r>
      <w:r>
        <w:rPr>
          <w:rFonts w:cs="方正书宋_GBK" w:hint="eastAsia"/>
        </w:rPr>
        <w:t>日。通过</w:t>
      </w:r>
      <w:r>
        <w:t>API</w:t>
      </w:r>
      <w:r>
        <w:rPr>
          <w:rFonts w:cs="方正书宋_GBK" w:hint="eastAsia"/>
        </w:rPr>
        <w:t>接口获取北京市范围内的兴趣点（</w:t>
      </w:r>
      <w:r>
        <w:t>POI</w:t>
      </w:r>
      <w:r>
        <w:rPr>
          <w:rFonts w:cs="方正书宋_GBK" w:hint="eastAsia"/>
        </w:rPr>
        <w:t>）数据（表</w:t>
      </w:r>
      <w:r>
        <w:t>1</w:t>
      </w:r>
      <w:r>
        <w:rPr>
          <w:rFonts w:cs="方正书宋_GBK" w:hint="eastAsia"/>
        </w:rPr>
        <w:t>），并对其进行坐标转换与格式标准化处理，使其统一至</w:t>
      </w:r>
      <w:r>
        <w:t>CGCS2000 3 Degree GK CM 117E</w:t>
      </w:r>
      <w:r>
        <w:rPr>
          <w:rFonts w:cs="方正书宋_GBK" w:hint="eastAsia"/>
        </w:rPr>
        <w:t>坐标系统。</w:t>
      </w:r>
    </w:p>
    <w:p w:rsidR="00B158E6" w:rsidRDefault="00B158E6">
      <w:pPr>
        <w:spacing w:line="276" w:lineRule="auto"/>
        <w:rPr>
          <w:rFonts w:cstheme="minorBidi"/>
        </w:rPr>
      </w:pPr>
      <w:r>
        <w:rPr>
          <w:rFonts w:cs="方正书宋_GBK" w:hint="eastAsia"/>
        </w:rPr>
        <w:lastRenderedPageBreak/>
        <w:t>在数据处理过程中，采用关键词检索与空间筛选相结合的方法，对</w:t>
      </w:r>
      <w:r>
        <w:t>POI</w:t>
      </w:r>
      <w:r>
        <w:rPr>
          <w:rFonts w:cs="方正书宋_GBK" w:hint="eastAsia"/>
        </w:rPr>
        <w:t>数据进行分类整理，选取教育、医疗、交通、商业购物、生活服务与休闲娱乐等与居民日常生活密切相关的设施类型。随后，在</w:t>
      </w:r>
      <w:bookmarkStart w:id="6" w:name="OLE_LINK22"/>
      <w:r>
        <w:t>ArcGIS</w:t>
      </w:r>
      <w:bookmarkEnd w:id="6"/>
      <w:r>
        <w:t xml:space="preserve"> Pro</w:t>
      </w:r>
      <w:r>
        <w:rPr>
          <w:rFonts w:cs="方正书宋_GBK" w:hint="eastAsia"/>
        </w:rPr>
        <w:t>平台上对</w:t>
      </w:r>
      <w:r>
        <w:t>POI</w:t>
      </w:r>
      <w:r>
        <w:rPr>
          <w:rFonts w:cs="方正书宋_GBK" w:hint="eastAsia"/>
        </w:rPr>
        <w:t>数据进行清洗、去重及空间校正，以保证数据质量。</w:t>
      </w:r>
    </w:p>
    <w:p w:rsidR="00B158E6" w:rsidRDefault="00B158E6">
      <w:pPr>
        <w:rPr>
          <w:rFonts w:cstheme="minorBidi"/>
        </w:rPr>
      </w:pPr>
    </w:p>
    <w:p w:rsidR="00B158E6" w:rsidRDefault="00B158E6">
      <w:pPr>
        <w:spacing w:after="40"/>
        <w:ind w:firstLine="0"/>
        <w:jc w:val="center"/>
        <w:rPr>
          <w:rFonts w:eastAsia="黑体" w:cstheme="minorBidi"/>
          <w:sz w:val="18"/>
          <w:szCs w:val="18"/>
        </w:rPr>
      </w:pPr>
      <w:r>
        <w:rPr>
          <w:rFonts w:eastAsia="黑体" w:hAnsi="黑体" w:cs="黑体" w:hint="eastAsia"/>
          <w:sz w:val="18"/>
          <w:szCs w:val="18"/>
        </w:rPr>
        <w:t>表</w:t>
      </w:r>
      <w:r>
        <w:rPr>
          <w:rFonts w:eastAsia="黑体"/>
          <w:b/>
          <w:bCs/>
          <w:sz w:val="18"/>
          <w:szCs w:val="18"/>
        </w:rPr>
        <w:t>1  POI</w:t>
      </w:r>
      <w:r>
        <w:rPr>
          <w:rFonts w:eastAsia="黑体" w:hAnsi="黑体" w:cs="黑体" w:hint="eastAsia"/>
          <w:sz w:val="18"/>
          <w:szCs w:val="18"/>
        </w:rPr>
        <w:t>数据的类型和子类型及其最大传输周期</w:t>
      </w:r>
    </w:p>
    <w:tbl>
      <w:tblPr>
        <w:tblW w:w="7938" w:type="dxa"/>
        <w:jc w:val="center"/>
        <w:tblCellMar>
          <w:left w:w="57" w:type="dxa"/>
          <w:right w:w="57" w:type="dxa"/>
        </w:tblCellMar>
        <w:tblLook w:val="0000"/>
      </w:tblPr>
      <w:tblGrid>
        <w:gridCol w:w="1681"/>
        <w:gridCol w:w="2289"/>
        <w:gridCol w:w="1826"/>
        <w:gridCol w:w="2142"/>
      </w:tblGrid>
      <w:tr w:rsidR="00B158E6">
        <w:trPr>
          <w:trHeight w:val="312"/>
          <w:tblHeader/>
          <w:jc w:val="center"/>
        </w:trPr>
        <w:tc>
          <w:tcPr>
            <w:tcW w:w="1681" w:type="dxa"/>
            <w:tcBorders>
              <w:top w:val="single" w:sz="8" w:space="0" w:color="auto"/>
              <w:left w:val="nil"/>
              <w:bottom w:val="nil"/>
              <w:right w:val="nil"/>
            </w:tcBorders>
            <w:shd w:val="clear" w:color="auto" w:fill="D9D9D9"/>
            <w:tcMar>
              <w:top w:w="-1" w:type="dxa"/>
              <w:left w:w="-1" w:type="dxa"/>
              <w:bottom w:w="-1" w:type="dxa"/>
              <w:right w:w="-1" w:type="dxa"/>
            </w:tcMar>
            <w:vAlign w:val="center"/>
          </w:tcPr>
          <w:p w:rsidR="00B158E6" w:rsidRDefault="00B158E6">
            <w:pPr>
              <w:spacing w:line="240" w:lineRule="auto"/>
              <w:ind w:firstLine="0"/>
              <w:jc w:val="center"/>
              <w:rPr>
                <w:rFonts w:cstheme="minorBidi"/>
                <w:sz w:val="16"/>
                <w:szCs w:val="16"/>
              </w:rPr>
            </w:pPr>
            <w:r>
              <w:rPr>
                <w:rFonts w:cs="方正书宋_GBK" w:hint="eastAsia"/>
                <w:sz w:val="16"/>
                <w:szCs w:val="16"/>
              </w:rPr>
              <w:t>类型</w:t>
            </w:r>
          </w:p>
        </w:tc>
        <w:tc>
          <w:tcPr>
            <w:tcW w:w="2289" w:type="dxa"/>
            <w:tcBorders>
              <w:top w:val="single" w:sz="8" w:space="0" w:color="auto"/>
              <w:left w:val="nil"/>
              <w:bottom w:val="nil"/>
              <w:right w:val="nil"/>
            </w:tcBorders>
            <w:shd w:val="clear" w:color="auto" w:fill="D9D9D9"/>
            <w:tcMar>
              <w:top w:w="-1" w:type="dxa"/>
              <w:left w:w="-1" w:type="dxa"/>
              <w:bottom w:w="-1" w:type="dxa"/>
              <w:right w:w="-1" w:type="dxa"/>
            </w:tcMar>
            <w:vAlign w:val="center"/>
          </w:tcPr>
          <w:p w:rsidR="00B158E6" w:rsidRDefault="00B158E6">
            <w:pPr>
              <w:spacing w:line="240" w:lineRule="auto"/>
              <w:ind w:firstLine="0"/>
              <w:jc w:val="center"/>
              <w:rPr>
                <w:rFonts w:cstheme="minorBidi"/>
                <w:sz w:val="16"/>
                <w:szCs w:val="16"/>
              </w:rPr>
            </w:pPr>
            <w:r>
              <w:rPr>
                <w:rFonts w:cs="方正书宋_GBK" w:hint="eastAsia"/>
                <w:sz w:val="16"/>
                <w:szCs w:val="16"/>
              </w:rPr>
              <w:t>亚型</w:t>
            </w:r>
          </w:p>
        </w:tc>
        <w:tc>
          <w:tcPr>
            <w:tcW w:w="1826" w:type="dxa"/>
            <w:tcBorders>
              <w:top w:val="single" w:sz="8" w:space="0" w:color="auto"/>
              <w:left w:val="nil"/>
              <w:bottom w:val="nil"/>
              <w:right w:val="nil"/>
            </w:tcBorders>
            <w:shd w:val="clear" w:color="auto" w:fill="D9D9D9"/>
            <w:tcMar>
              <w:top w:w="-1" w:type="dxa"/>
              <w:left w:w="-1" w:type="dxa"/>
              <w:bottom w:w="-1" w:type="dxa"/>
              <w:right w:w="-1" w:type="dxa"/>
            </w:tcMar>
            <w:vAlign w:val="center"/>
          </w:tcPr>
          <w:p w:rsidR="00B158E6" w:rsidRDefault="00B158E6">
            <w:pPr>
              <w:spacing w:line="240" w:lineRule="auto"/>
              <w:ind w:firstLine="0"/>
              <w:jc w:val="center"/>
              <w:rPr>
                <w:rFonts w:cstheme="minorBidi"/>
                <w:sz w:val="16"/>
                <w:szCs w:val="16"/>
                <w:highlight w:val="lightGray"/>
              </w:rPr>
            </w:pPr>
            <w:r>
              <w:rPr>
                <w:rFonts w:cs="方正书宋_GBK" w:hint="eastAsia"/>
                <w:sz w:val="16"/>
                <w:szCs w:val="16"/>
              </w:rPr>
              <w:t>代码</w:t>
            </w:r>
          </w:p>
        </w:tc>
        <w:tc>
          <w:tcPr>
            <w:tcW w:w="2142" w:type="dxa"/>
            <w:tcBorders>
              <w:top w:val="single" w:sz="8" w:space="0" w:color="auto"/>
              <w:left w:val="nil"/>
              <w:bottom w:val="nil"/>
              <w:right w:val="nil"/>
            </w:tcBorders>
            <w:shd w:val="clear" w:color="auto" w:fill="D9D9D9"/>
            <w:tcMar>
              <w:top w:w="-1" w:type="dxa"/>
              <w:left w:w="-1" w:type="dxa"/>
              <w:bottom w:w="-1" w:type="dxa"/>
              <w:right w:w="-1" w:type="dxa"/>
            </w:tcMar>
            <w:vAlign w:val="center"/>
          </w:tcPr>
          <w:p w:rsidR="00B158E6" w:rsidRDefault="00B158E6">
            <w:pPr>
              <w:spacing w:line="240" w:lineRule="auto"/>
              <w:ind w:firstLine="0"/>
              <w:jc w:val="center"/>
              <w:rPr>
                <w:rFonts w:cstheme="minorBidi"/>
                <w:sz w:val="16"/>
                <w:szCs w:val="16"/>
              </w:rPr>
            </w:pPr>
            <w:r>
              <w:rPr>
                <w:rFonts w:cs="方正书宋_GBK" w:hint="eastAsia"/>
                <w:sz w:val="16"/>
                <w:szCs w:val="16"/>
              </w:rPr>
              <w:t>生命圈的最大交通时间</w:t>
            </w:r>
          </w:p>
        </w:tc>
      </w:tr>
      <w:tr w:rsidR="00B158E6">
        <w:trPr>
          <w:trHeight w:val="312"/>
          <w:jc w:val="center"/>
        </w:trPr>
        <w:tc>
          <w:tcPr>
            <w:tcW w:w="1681" w:type="dxa"/>
            <w:tcBorders>
              <w:top w:val="single" w:sz="4" w:space="0" w:color="auto"/>
              <w:left w:val="nil"/>
              <w:bottom w:val="nil"/>
              <w:right w:val="nil"/>
            </w:tcBorders>
            <w:tcMar>
              <w:top w:w="-1" w:type="dxa"/>
              <w:left w:w="-1" w:type="dxa"/>
              <w:bottom w:w="-1" w:type="dxa"/>
              <w:right w:w="-1" w:type="dxa"/>
            </w:tcMar>
            <w:vAlign w:val="center"/>
          </w:tcPr>
          <w:p w:rsidR="00B158E6" w:rsidRDefault="00B158E6">
            <w:pPr>
              <w:spacing w:line="240" w:lineRule="auto"/>
              <w:ind w:firstLine="492"/>
              <w:rPr>
                <w:rFonts w:cstheme="minorBidi"/>
                <w:sz w:val="16"/>
                <w:szCs w:val="16"/>
              </w:rPr>
            </w:pPr>
            <w:r>
              <w:rPr>
                <w:rFonts w:cs="方正书宋_GBK" w:hint="eastAsia"/>
                <w:sz w:val="16"/>
                <w:szCs w:val="16"/>
              </w:rPr>
              <w:t>教育</w:t>
            </w:r>
          </w:p>
        </w:tc>
        <w:tc>
          <w:tcPr>
            <w:tcW w:w="2289" w:type="dxa"/>
            <w:tcBorders>
              <w:top w:val="single" w:sz="4" w:space="0" w:color="auto"/>
              <w:left w:val="nil"/>
              <w:bottom w:val="nil"/>
              <w:right w:val="nil"/>
            </w:tcBorders>
            <w:tcMar>
              <w:top w:w="-1" w:type="dxa"/>
              <w:left w:w="-1" w:type="dxa"/>
              <w:bottom w:w="-1" w:type="dxa"/>
              <w:right w:w="-1" w:type="dxa"/>
            </w:tcMar>
            <w:vAlign w:val="center"/>
          </w:tcPr>
          <w:p w:rsidR="00B158E6" w:rsidRDefault="00B158E6">
            <w:pPr>
              <w:spacing w:line="240" w:lineRule="auto"/>
              <w:ind w:firstLine="617"/>
              <w:rPr>
                <w:rFonts w:cstheme="minorBidi"/>
                <w:sz w:val="16"/>
                <w:szCs w:val="16"/>
              </w:rPr>
            </w:pPr>
            <w:r>
              <w:rPr>
                <w:rFonts w:cs="方正书宋_GBK" w:hint="eastAsia"/>
                <w:sz w:val="16"/>
                <w:szCs w:val="16"/>
              </w:rPr>
              <w:t>幼儿园</w:t>
            </w:r>
          </w:p>
        </w:tc>
        <w:tc>
          <w:tcPr>
            <w:tcW w:w="1826" w:type="dxa"/>
            <w:tcBorders>
              <w:top w:val="single" w:sz="4" w:space="0" w:color="auto"/>
              <w:left w:val="nil"/>
              <w:bottom w:val="nil"/>
              <w:right w:val="nil"/>
            </w:tcBorders>
            <w:tcMar>
              <w:top w:w="-1" w:type="dxa"/>
              <w:left w:w="-1" w:type="dxa"/>
              <w:bottom w:w="-1" w:type="dxa"/>
              <w:right w:w="-1" w:type="dxa"/>
            </w:tcMar>
            <w:vAlign w:val="center"/>
          </w:tcPr>
          <w:p w:rsidR="00B158E6" w:rsidRDefault="00B158E6">
            <w:pPr>
              <w:spacing w:line="240" w:lineRule="auto"/>
              <w:ind w:firstLine="0"/>
              <w:jc w:val="center"/>
              <w:rPr>
                <w:sz w:val="16"/>
                <w:szCs w:val="16"/>
              </w:rPr>
            </w:pPr>
            <w:r>
              <w:rPr>
                <w:sz w:val="16"/>
                <w:szCs w:val="16"/>
              </w:rPr>
              <w:t>160101</w:t>
            </w:r>
          </w:p>
        </w:tc>
        <w:tc>
          <w:tcPr>
            <w:tcW w:w="2142" w:type="dxa"/>
            <w:tcBorders>
              <w:top w:val="single" w:sz="4" w:space="0" w:color="auto"/>
              <w:left w:val="nil"/>
              <w:bottom w:val="nil"/>
              <w:right w:val="nil"/>
            </w:tcBorders>
            <w:tcMar>
              <w:top w:w="-1" w:type="dxa"/>
              <w:left w:w="-1" w:type="dxa"/>
              <w:bottom w:w="-1" w:type="dxa"/>
              <w:right w:w="-1" w:type="dxa"/>
            </w:tcMar>
            <w:vAlign w:val="center"/>
          </w:tcPr>
          <w:p w:rsidR="00B158E6" w:rsidRDefault="00B158E6">
            <w:pPr>
              <w:spacing w:line="240" w:lineRule="auto"/>
              <w:ind w:firstLine="855"/>
              <w:rPr>
                <w:rFonts w:cstheme="minorBidi"/>
                <w:sz w:val="16"/>
                <w:szCs w:val="16"/>
              </w:rPr>
            </w:pPr>
            <w:r>
              <w:rPr>
                <w:sz w:val="16"/>
                <w:szCs w:val="16"/>
              </w:rPr>
              <w:t>5</w:t>
            </w:r>
            <w:r>
              <w:rPr>
                <w:rFonts w:cs="方正书宋_GBK" w:hint="eastAsia"/>
                <w:sz w:val="16"/>
                <w:szCs w:val="16"/>
              </w:rPr>
              <w:t>分钟</w:t>
            </w:r>
          </w:p>
        </w:tc>
      </w:tr>
      <w:tr w:rsidR="00B158E6">
        <w:trPr>
          <w:trHeight w:val="312"/>
          <w:jc w:val="center"/>
        </w:trPr>
        <w:tc>
          <w:tcPr>
            <w:tcW w:w="1681"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492"/>
              <w:rPr>
                <w:rFonts w:cstheme="minorBidi"/>
                <w:sz w:val="16"/>
                <w:szCs w:val="16"/>
              </w:rPr>
            </w:pPr>
          </w:p>
        </w:tc>
        <w:tc>
          <w:tcPr>
            <w:tcW w:w="2289"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617"/>
              <w:rPr>
                <w:rFonts w:cstheme="minorBidi"/>
                <w:sz w:val="16"/>
                <w:szCs w:val="16"/>
              </w:rPr>
            </w:pPr>
            <w:r>
              <w:rPr>
                <w:rFonts w:cs="方正书宋_GBK" w:hint="eastAsia"/>
                <w:sz w:val="16"/>
                <w:szCs w:val="16"/>
              </w:rPr>
              <w:t>小学</w:t>
            </w:r>
          </w:p>
        </w:tc>
        <w:tc>
          <w:tcPr>
            <w:tcW w:w="1826"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0"/>
              <w:jc w:val="center"/>
              <w:rPr>
                <w:sz w:val="16"/>
                <w:szCs w:val="16"/>
              </w:rPr>
            </w:pPr>
            <w:r>
              <w:rPr>
                <w:sz w:val="16"/>
                <w:szCs w:val="16"/>
              </w:rPr>
              <w:t>160102</w:t>
            </w:r>
          </w:p>
        </w:tc>
        <w:tc>
          <w:tcPr>
            <w:tcW w:w="2142"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855"/>
              <w:rPr>
                <w:rFonts w:cstheme="minorBidi"/>
                <w:sz w:val="16"/>
                <w:szCs w:val="16"/>
              </w:rPr>
            </w:pPr>
            <w:r>
              <w:rPr>
                <w:sz w:val="16"/>
                <w:szCs w:val="16"/>
              </w:rPr>
              <w:t>10</w:t>
            </w:r>
            <w:r>
              <w:rPr>
                <w:rFonts w:cs="方正书宋_GBK" w:hint="eastAsia"/>
                <w:sz w:val="16"/>
                <w:szCs w:val="16"/>
              </w:rPr>
              <w:t>分钟</w:t>
            </w:r>
          </w:p>
        </w:tc>
      </w:tr>
      <w:tr w:rsidR="00B158E6">
        <w:trPr>
          <w:trHeight w:val="312"/>
          <w:jc w:val="center"/>
        </w:trPr>
        <w:tc>
          <w:tcPr>
            <w:tcW w:w="1681"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492"/>
              <w:rPr>
                <w:rFonts w:cstheme="minorBidi"/>
                <w:sz w:val="16"/>
                <w:szCs w:val="16"/>
              </w:rPr>
            </w:pPr>
          </w:p>
        </w:tc>
        <w:tc>
          <w:tcPr>
            <w:tcW w:w="2289"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617"/>
              <w:rPr>
                <w:rFonts w:cstheme="minorBidi"/>
                <w:sz w:val="16"/>
                <w:szCs w:val="16"/>
              </w:rPr>
            </w:pPr>
            <w:r>
              <w:rPr>
                <w:rFonts w:cs="方正书宋_GBK" w:hint="eastAsia"/>
                <w:sz w:val="16"/>
                <w:szCs w:val="16"/>
              </w:rPr>
              <w:t>中学</w:t>
            </w:r>
          </w:p>
        </w:tc>
        <w:tc>
          <w:tcPr>
            <w:tcW w:w="1826"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0"/>
              <w:jc w:val="center"/>
              <w:rPr>
                <w:sz w:val="16"/>
                <w:szCs w:val="16"/>
              </w:rPr>
            </w:pPr>
            <w:r>
              <w:rPr>
                <w:sz w:val="16"/>
                <w:szCs w:val="16"/>
              </w:rPr>
              <w:t>160103</w:t>
            </w:r>
          </w:p>
        </w:tc>
        <w:tc>
          <w:tcPr>
            <w:tcW w:w="2142"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855"/>
              <w:rPr>
                <w:rFonts w:cstheme="minorBidi"/>
                <w:sz w:val="16"/>
                <w:szCs w:val="16"/>
              </w:rPr>
            </w:pPr>
            <w:r>
              <w:rPr>
                <w:sz w:val="16"/>
                <w:szCs w:val="16"/>
              </w:rPr>
              <w:t>15</w:t>
            </w:r>
            <w:r>
              <w:rPr>
                <w:rFonts w:cs="方正书宋_GBK" w:hint="eastAsia"/>
                <w:sz w:val="16"/>
                <w:szCs w:val="16"/>
              </w:rPr>
              <w:t>分钟</w:t>
            </w:r>
          </w:p>
        </w:tc>
      </w:tr>
      <w:tr w:rsidR="00B158E6">
        <w:trPr>
          <w:trHeight w:val="312"/>
          <w:jc w:val="center"/>
        </w:trPr>
        <w:tc>
          <w:tcPr>
            <w:tcW w:w="1681"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492"/>
              <w:rPr>
                <w:rFonts w:cstheme="minorBidi"/>
                <w:sz w:val="16"/>
                <w:szCs w:val="16"/>
              </w:rPr>
            </w:pPr>
            <w:r>
              <w:rPr>
                <w:rFonts w:cs="方正书宋_GBK" w:hint="eastAsia"/>
                <w:sz w:val="16"/>
                <w:szCs w:val="16"/>
              </w:rPr>
              <w:t>医疗</w:t>
            </w:r>
          </w:p>
        </w:tc>
        <w:tc>
          <w:tcPr>
            <w:tcW w:w="2289"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617"/>
              <w:rPr>
                <w:rFonts w:cstheme="minorBidi"/>
                <w:sz w:val="16"/>
                <w:szCs w:val="16"/>
              </w:rPr>
            </w:pPr>
            <w:r>
              <w:rPr>
                <w:rFonts w:cs="方正书宋_GBK" w:hint="eastAsia"/>
                <w:sz w:val="16"/>
                <w:szCs w:val="16"/>
              </w:rPr>
              <w:t>综合医院</w:t>
            </w:r>
          </w:p>
        </w:tc>
        <w:tc>
          <w:tcPr>
            <w:tcW w:w="1826"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0"/>
              <w:jc w:val="center"/>
              <w:rPr>
                <w:sz w:val="16"/>
                <w:szCs w:val="16"/>
              </w:rPr>
            </w:pPr>
            <w:r>
              <w:rPr>
                <w:sz w:val="16"/>
                <w:szCs w:val="16"/>
              </w:rPr>
              <w:t>170101</w:t>
            </w:r>
          </w:p>
        </w:tc>
        <w:tc>
          <w:tcPr>
            <w:tcW w:w="2142"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855"/>
              <w:rPr>
                <w:rFonts w:cstheme="minorBidi"/>
                <w:sz w:val="16"/>
                <w:szCs w:val="16"/>
              </w:rPr>
            </w:pPr>
            <w:r>
              <w:rPr>
                <w:sz w:val="16"/>
                <w:szCs w:val="16"/>
              </w:rPr>
              <w:t>15</w:t>
            </w:r>
            <w:r>
              <w:rPr>
                <w:rFonts w:cs="方正书宋_GBK" w:hint="eastAsia"/>
                <w:sz w:val="16"/>
                <w:szCs w:val="16"/>
              </w:rPr>
              <w:t>分钟</w:t>
            </w:r>
          </w:p>
        </w:tc>
      </w:tr>
      <w:tr w:rsidR="00B158E6">
        <w:trPr>
          <w:trHeight w:val="312"/>
          <w:jc w:val="center"/>
        </w:trPr>
        <w:tc>
          <w:tcPr>
            <w:tcW w:w="1681"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rPr>
                <w:rFonts w:cstheme="minorBidi"/>
                <w:sz w:val="16"/>
                <w:szCs w:val="16"/>
              </w:rPr>
            </w:pPr>
          </w:p>
        </w:tc>
        <w:tc>
          <w:tcPr>
            <w:tcW w:w="2289"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617"/>
              <w:rPr>
                <w:rFonts w:cstheme="minorBidi"/>
                <w:sz w:val="16"/>
                <w:szCs w:val="16"/>
              </w:rPr>
            </w:pPr>
            <w:r>
              <w:rPr>
                <w:rFonts w:cs="方正书宋_GBK" w:hint="eastAsia"/>
                <w:sz w:val="16"/>
                <w:szCs w:val="16"/>
              </w:rPr>
              <w:t>专科医院</w:t>
            </w:r>
          </w:p>
        </w:tc>
        <w:tc>
          <w:tcPr>
            <w:tcW w:w="1826"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0"/>
              <w:jc w:val="center"/>
              <w:rPr>
                <w:sz w:val="16"/>
                <w:szCs w:val="16"/>
              </w:rPr>
            </w:pPr>
            <w:r>
              <w:rPr>
                <w:sz w:val="16"/>
                <w:szCs w:val="16"/>
              </w:rPr>
              <w:t>170102</w:t>
            </w:r>
          </w:p>
        </w:tc>
        <w:tc>
          <w:tcPr>
            <w:tcW w:w="2142"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855"/>
              <w:rPr>
                <w:rFonts w:cstheme="minorBidi"/>
                <w:sz w:val="16"/>
                <w:szCs w:val="16"/>
              </w:rPr>
            </w:pPr>
            <w:r>
              <w:rPr>
                <w:sz w:val="16"/>
                <w:szCs w:val="16"/>
              </w:rPr>
              <w:t>15</w:t>
            </w:r>
            <w:r>
              <w:rPr>
                <w:rFonts w:cs="方正书宋_GBK" w:hint="eastAsia"/>
                <w:sz w:val="16"/>
                <w:szCs w:val="16"/>
              </w:rPr>
              <w:t>分钟</w:t>
            </w:r>
          </w:p>
        </w:tc>
      </w:tr>
      <w:tr w:rsidR="00B158E6">
        <w:trPr>
          <w:trHeight w:val="312"/>
          <w:jc w:val="center"/>
        </w:trPr>
        <w:tc>
          <w:tcPr>
            <w:tcW w:w="1681"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rPr>
                <w:rFonts w:cstheme="minorBidi"/>
                <w:sz w:val="16"/>
                <w:szCs w:val="16"/>
              </w:rPr>
            </w:pPr>
          </w:p>
        </w:tc>
        <w:tc>
          <w:tcPr>
            <w:tcW w:w="2289"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617"/>
              <w:rPr>
                <w:rFonts w:cstheme="minorBidi"/>
                <w:sz w:val="16"/>
                <w:szCs w:val="16"/>
              </w:rPr>
            </w:pPr>
            <w:r>
              <w:rPr>
                <w:rFonts w:cs="方正书宋_GBK" w:hint="eastAsia"/>
                <w:sz w:val="16"/>
                <w:szCs w:val="16"/>
              </w:rPr>
              <w:t>养老院和孤儿院</w:t>
            </w:r>
          </w:p>
        </w:tc>
        <w:tc>
          <w:tcPr>
            <w:tcW w:w="1826"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0"/>
              <w:jc w:val="center"/>
              <w:rPr>
                <w:sz w:val="16"/>
                <w:szCs w:val="16"/>
              </w:rPr>
            </w:pPr>
            <w:r>
              <w:rPr>
                <w:sz w:val="16"/>
                <w:szCs w:val="16"/>
              </w:rPr>
              <w:t>170201</w:t>
            </w:r>
          </w:p>
        </w:tc>
        <w:tc>
          <w:tcPr>
            <w:tcW w:w="2142"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855"/>
              <w:rPr>
                <w:rFonts w:cstheme="minorBidi"/>
                <w:sz w:val="16"/>
                <w:szCs w:val="16"/>
              </w:rPr>
            </w:pPr>
            <w:r>
              <w:rPr>
                <w:sz w:val="16"/>
                <w:szCs w:val="16"/>
              </w:rPr>
              <w:t>15</w:t>
            </w:r>
            <w:r>
              <w:rPr>
                <w:rFonts w:cs="方正书宋_GBK" w:hint="eastAsia"/>
                <w:sz w:val="16"/>
                <w:szCs w:val="16"/>
              </w:rPr>
              <w:t>分钟</w:t>
            </w:r>
          </w:p>
        </w:tc>
      </w:tr>
      <w:tr w:rsidR="00B158E6">
        <w:trPr>
          <w:trHeight w:val="312"/>
          <w:jc w:val="center"/>
        </w:trPr>
        <w:tc>
          <w:tcPr>
            <w:tcW w:w="1681"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492"/>
              <w:rPr>
                <w:rFonts w:cstheme="minorBidi"/>
                <w:sz w:val="16"/>
                <w:szCs w:val="16"/>
              </w:rPr>
            </w:pPr>
            <w:r>
              <w:rPr>
                <w:rFonts w:cs="方正书宋_GBK" w:hint="eastAsia"/>
                <w:sz w:val="16"/>
                <w:szCs w:val="16"/>
              </w:rPr>
              <w:t>交通</w:t>
            </w:r>
          </w:p>
        </w:tc>
        <w:tc>
          <w:tcPr>
            <w:tcW w:w="2289"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617"/>
              <w:rPr>
                <w:rFonts w:cstheme="minorBidi"/>
                <w:sz w:val="16"/>
                <w:szCs w:val="16"/>
              </w:rPr>
            </w:pPr>
            <w:r>
              <w:rPr>
                <w:rFonts w:cs="方正书宋_GBK" w:hint="eastAsia"/>
                <w:sz w:val="16"/>
                <w:szCs w:val="16"/>
              </w:rPr>
              <w:t>地铁站</w:t>
            </w:r>
          </w:p>
        </w:tc>
        <w:tc>
          <w:tcPr>
            <w:tcW w:w="1826"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0"/>
              <w:jc w:val="center"/>
              <w:rPr>
                <w:sz w:val="16"/>
                <w:szCs w:val="16"/>
              </w:rPr>
            </w:pPr>
            <w:r>
              <w:rPr>
                <w:sz w:val="16"/>
                <w:szCs w:val="16"/>
              </w:rPr>
              <w:t>230111</w:t>
            </w:r>
          </w:p>
        </w:tc>
        <w:tc>
          <w:tcPr>
            <w:tcW w:w="2142"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855"/>
              <w:rPr>
                <w:rFonts w:cstheme="minorBidi"/>
                <w:sz w:val="16"/>
                <w:szCs w:val="16"/>
              </w:rPr>
            </w:pPr>
            <w:r>
              <w:rPr>
                <w:sz w:val="16"/>
                <w:szCs w:val="16"/>
              </w:rPr>
              <w:t>15</w:t>
            </w:r>
            <w:r>
              <w:rPr>
                <w:rFonts w:cs="方正书宋_GBK" w:hint="eastAsia"/>
                <w:sz w:val="16"/>
                <w:szCs w:val="16"/>
              </w:rPr>
              <w:t>分钟</w:t>
            </w:r>
          </w:p>
        </w:tc>
      </w:tr>
      <w:tr w:rsidR="00B158E6">
        <w:trPr>
          <w:trHeight w:val="312"/>
          <w:jc w:val="center"/>
        </w:trPr>
        <w:tc>
          <w:tcPr>
            <w:tcW w:w="1681"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492"/>
              <w:rPr>
                <w:rFonts w:cstheme="minorBidi"/>
                <w:sz w:val="16"/>
                <w:szCs w:val="16"/>
              </w:rPr>
            </w:pPr>
          </w:p>
        </w:tc>
        <w:tc>
          <w:tcPr>
            <w:tcW w:w="2289"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617"/>
              <w:rPr>
                <w:rFonts w:cstheme="minorBidi"/>
                <w:sz w:val="16"/>
                <w:szCs w:val="16"/>
              </w:rPr>
            </w:pPr>
            <w:r>
              <w:rPr>
                <w:rFonts w:cs="方正书宋_GBK" w:hint="eastAsia"/>
                <w:sz w:val="16"/>
                <w:szCs w:val="16"/>
              </w:rPr>
              <w:t>公交车站</w:t>
            </w:r>
          </w:p>
        </w:tc>
        <w:tc>
          <w:tcPr>
            <w:tcW w:w="1826"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0"/>
              <w:jc w:val="center"/>
              <w:rPr>
                <w:sz w:val="16"/>
                <w:szCs w:val="16"/>
              </w:rPr>
            </w:pPr>
            <w:r>
              <w:rPr>
                <w:sz w:val="16"/>
                <w:szCs w:val="16"/>
              </w:rPr>
              <w:t>230112</w:t>
            </w:r>
          </w:p>
        </w:tc>
        <w:tc>
          <w:tcPr>
            <w:tcW w:w="2142"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855"/>
              <w:rPr>
                <w:rFonts w:cstheme="minorBidi"/>
                <w:sz w:val="16"/>
                <w:szCs w:val="16"/>
              </w:rPr>
            </w:pPr>
            <w:r>
              <w:rPr>
                <w:sz w:val="16"/>
                <w:szCs w:val="16"/>
              </w:rPr>
              <w:t>10</w:t>
            </w:r>
            <w:r>
              <w:rPr>
                <w:rFonts w:cs="方正书宋_GBK" w:hint="eastAsia"/>
                <w:sz w:val="16"/>
                <w:szCs w:val="16"/>
              </w:rPr>
              <w:t>分钟</w:t>
            </w:r>
          </w:p>
        </w:tc>
      </w:tr>
      <w:tr w:rsidR="00B158E6">
        <w:trPr>
          <w:trHeight w:val="312"/>
          <w:jc w:val="center"/>
        </w:trPr>
        <w:tc>
          <w:tcPr>
            <w:tcW w:w="1681"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492"/>
              <w:rPr>
                <w:rFonts w:cstheme="minorBidi"/>
                <w:sz w:val="16"/>
                <w:szCs w:val="16"/>
              </w:rPr>
            </w:pPr>
            <w:r>
              <w:rPr>
                <w:rFonts w:cs="方正书宋_GBK" w:hint="eastAsia"/>
                <w:sz w:val="16"/>
                <w:szCs w:val="16"/>
              </w:rPr>
              <w:t>商业购物</w:t>
            </w:r>
          </w:p>
        </w:tc>
        <w:tc>
          <w:tcPr>
            <w:tcW w:w="2289"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617"/>
              <w:rPr>
                <w:rFonts w:cstheme="minorBidi"/>
                <w:sz w:val="16"/>
                <w:szCs w:val="16"/>
              </w:rPr>
            </w:pPr>
            <w:r>
              <w:rPr>
                <w:rFonts w:cs="方正书宋_GBK" w:hint="eastAsia"/>
                <w:sz w:val="16"/>
                <w:szCs w:val="16"/>
              </w:rPr>
              <w:t>购物中心</w:t>
            </w:r>
          </w:p>
        </w:tc>
        <w:tc>
          <w:tcPr>
            <w:tcW w:w="1826"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0"/>
              <w:jc w:val="center"/>
              <w:rPr>
                <w:sz w:val="16"/>
                <w:szCs w:val="16"/>
              </w:rPr>
            </w:pPr>
            <w:r>
              <w:rPr>
                <w:sz w:val="16"/>
                <w:szCs w:val="16"/>
              </w:rPr>
              <w:t>130102</w:t>
            </w:r>
          </w:p>
        </w:tc>
        <w:tc>
          <w:tcPr>
            <w:tcW w:w="2142"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855"/>
              <w:rPr>
                <w:rFonts w:cstheme="minorBidi"/>
                <w:sz w:val="16"/>
                <w:szCs w:val="16"/>
              </w:rPr>
            </w:pPr>
            <w:r>
              <w:rPr>
                <w:sz w:val="16"/>
                <w:szCs w:val="16"/>
              </w:rPr>
              <w:t>15</w:t>
            </w:r>
            <w:r>
              <w:rPr>
                <w:rFonts w:cs="方正书宋_GBK" w:hint="eastAsia"/>
                <w:sz w:val="16"/>
                <w:szCs w:val="16"/>
              </w:rPr>
              <w:t>分钟</w:t>
            </w:r>
          </w:p>
        </w:tc>
      </w:tr>
      <w:tr w:rsidR="00B158E6">
        <w:trPr>
          <w:trHeight w:val="312"/>
          <w:jc w:val="center"/>
        </w:trPr>
        <w:tc>
          <w:tcPr>
            <w:tcW w:w="1681"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492"/>
              <w:rPr>
                <w:rFonts w:cstheme="minorBidi"/>
                <w:sz w:val="16"/>
                <w:szCs w:val="16"/>
              </w:rPr>
            </w:pPr>
          </w:p>
        </w:tc>
        <w:tc>
          <w:tcPr>
            <w:tcW w:w="2289"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617"/>
              <w:rPr>
                <w:rFonts w:cstheme="minorBidi"/>
                <w:sz w:val="16"/>
                <w:szCs w:val="16"/>
              </w:rPr>
            </w:pPr>
            <w:r>
              <w:rPr>
                <w:rFonts w:cs="方正书宋_GBK" w:hint="eastAsia"/>
                <w:sz w:val="16"/>
                <w:szCs w:val="16"/>
              </w:rPr>
              <w:t>超市</w:t>
            </w:r>
          </w:p>
        </w:tc>
        <w:tc>
          <w:tcPr>
            <w:tcW w:w="1826"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0"/>
              <w:jc w:val="center"/>
              <w:rPr>
                <w:sz w:val="16"/>
                <w:szCs w:val="16"/>
              </w:rPr>
            </w:pPr>
            <w:r>
              <w:rPr>
                <w:sz w:val="16"/>
                <w:szCs w:val="16"/>
              </w:rPr>
              <w:t>130106</w:t>
            </w:r>
          </w:p>
        </w:tc>
        <w:tc>
          <w:tcPr>
            <w:tcW w:w="2142"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855"/>
              <w:rPr>
                <w:rFonts w:cstheme="minorBidi"/>
                <w:sz w:val="16"/>
                <w:szCs w:val="16"/>
              </w:rPr>
            </w:pPr>
            <w:r>
              <w:rPr>
                <w:sz w:val="16"/>
                <w:szCs w:val="16"/>
              </w:rPr>
              <w:t>10</w:t>
            </w:r>
            <w:r>
              <w:rPr>
                <w:rFonts w:cs="方正书宋_GBK" w:hint="eastAsia"/>
                <w:sz w:val="16"/>
                <w:szCs w:val="16"/>
              </w:rPr>
              <w:t>分钟</w:t>
            </w:r>
          </w:p>
        </w:tc>
      </w:tr>
      <w:tr w:rsidR="00B158E6">
        <w:trPr>
          <w:trHeight w:val="312"/>
          <w:jc w:val="center"/>
        </w:trPr>
        <w:tc>
          <w:tcPr>
            <w:tcW w:w="1681"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492"/>
              <w:rPr>
                <w:rFonts w:cstheme="minorBidi"/>
                <w:sz w:val="16"/>
                <w:szCs w:val="16"/>
              </w:rPr>
            </w:pPr>
            <w:r>
              <w:rPr>
                <w:rFonts w:cs="方正书宋_GBK" w:hint="eastAsia"/>
                <w:sz w:val="16"/>
                <w:szCs w:val="16"/>
              </w:rPr>
              <w:t>生活服务</w:t>
            </w:r>
          </w:p>
        </w:tc>
        <w:tc>
          <w:tcPr>
            <w:tcW w:w="2289"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617"/>
              <w:rPr>
                <w:rFonts w:cstheme="minorBidi"/>
                <w:sz w:val="16"/>
                <w:szCs w:val="16"/>
              </w:rPr>
            </w:pPr>
            <w:r>
              <w:rPr>
                <w:rFonts w:cs="方正书宋_GBK" w:hint="eastAsia"/>
                <w:sz w:val="16"/>
                <w:szCs w:val="16"/>
              </w:rPr>
              <w:t>理发洗浴</w:t>
            </w:r>
          </w:p>
        </w:tc>
        <w:tc>
          <w:tcPr>
            <w:tcW w:w="1826"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0"/>
              <w:jc w:val="center"/>
              <w:rPr>
                <w:sz w:val="16"/>
                <w:szCs w:val="16"/>
              </w:rPr>
            </w:pPr>
            <w:r>
              <w:rPr>
                <w:sz w:val="16"/>
                <w:szCs w:val="16"/>
              </w:rPr>
              <w:t>140300</w:t>
            </w:r>
          </w:p>
        </w:tc>
        <w:tc>
          <w:tcPr>
            <w:tcW w:w="2142"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855"/>
              <w:rPr>
                <w:rFonts w:cstheme="minorBidi"/>
                <w:sz w:val="16"/>
                <w:szCs w:val="16"/>
              </w:rPr>
            </w:pPr>
            <w:r>
              <w:rPr>
                <w:sz w:val="16"/>
                <w:szCs w:val="16"/>
              </w:rPr>
              <w:t>15</w:t>
            </w:r>
            <w:r>
              <w:rPr>
                <w:rFonts w:cs="方正书宋_GBK" w:hint="eastAsia"/>
                <w:sz w:val="16"/>
                <w:szCs w:val="16"/>
              </w:rPr>
              <w:t>分钟</w:t>
            </w:r>
          </w:p>
        </w:tc>
      </w:tr>
      <w:tr w:rsidR="00B158E6">
        <w:trPr>
          <w:trHeight w:val="312"/>
          <w:jc w:val="center"/>
        </w:trPr>
        <w:tc>
          <w:tcPr>
            <w:tcW w:w="1681"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492"/>
              <w:rPr>
                <w:rFonts w:cstheme="minorBidi"/>
                <w:sz w:val="16"/>
                <w:szCs w:val="16"/>
              </w:rPr>
            </w:pPr>
          </w:p>
        </w:tc>
        <w:tc>
          <w:tcPr>
            <w:tcW w:w="2289"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617"/>
              <w:rPr>
                <w:rFonts w:cstheme="minorBidi"/>
                <w:sz w:val="16"/>
                <w:szCs w:val="16"/>
              </w:rPr>
            </w:pPr>
            <w:r>
              <w:rPr>
                <w:rFonts w:cs="方正书宋_GBK" w:hint="eastAsia"/>
                <w:sz w:val="16"/>
                <w:szCs w:val="16"/>
              </w:rPr>
              <w:t>电讯营业厅</w:t>
            </w:r>
          </w:p>
        </w:tc>
        <w:tc>
          <w:tcPr>
            <w:tcW w:w="1826"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0"/>
              <w:jc w:val="center"/>
              <w:rPr>
                <w:sz w:val="16"/>
                <w:szCs w:val="16"/>
              </w:rPr>
            </w:pPr>
            <w:r>
              <w:rPr>
                <w:sz w:val="16"/>
                <w:szCs w:val="16"/>
              </w:rPr>
              <w:t>140201</w:t>
            </w:r>
          </w:p>
        </w:tc>
        <w:tc>
          <w:tcPr>
            <w:tcW w:w="2142"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855"/>
              <w:rPr>
                <w:rFonts w:cstheme="minorBidi"/>
                <w:sz w:val="16"/>
                <w:szCs w:val="16"/>
              </w:rPr>
            </w:pPr>
            <w:r>
              <w:rPr>
                <w:sz w:val="16"/>
                <w:szCs w:val="16"/>
              </w:rPr>
              <w:t>15</w:t>
            </w:r>
            <w:r>
              <w:rPr>
                <w:rFonts w:cs="方正书宋_GBK" w:hint="eastAsia"/>
                <w:sz w:val="16"/>
                <w:szCs w:val="16"/>
              </w:rPr>
              <w:t>分钟</w:t>
            </w:r>
          </w:p>
        </w:tc>
      </w:tr>
      <w:tr w:rsidR="00B158E6">
        <w:trPr>
          <w:trHeight w:val="312"/>
          <w:jc w:val="center"/>
        </w:trPr>
        <w:tc>
          <w:tcPr>
            <w:tcW w:w="1681"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492"/>
              <w:rPr>
                <w:rFonts w:cstheme="minorBidi"/>
                <w:sz w:val="16"/>
                <w:szCs w:val="16"/>
              </w:rPr>
            </w:pPr>
            <w:r>
              <w:rPr>
                <w:rFonts w:cs="方正书宋_GBK" w:hint="eastAsia"/>
                <w:sz w:val="16"/>
                <w:szCs w:val="16"/>
              </w:rPr>
              <w:t>休闲娱乐</w:t>
            </w:r>
          </w:p>
        </w:tc>
        <w:tc>
          <w:tcPr>
            <w:tcW w:w="2289"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617"/>
              <w:rPr>
                <w:rFonts w:cstheme="minorBidi"/>
                <w:sz w:val="16"/>
                <w:szCs w:val="16"/>
              </w:rPr>
            </w:pPr>
            <w:r>
              <w:rPr>
                <w:rFonts w:cs="方正书宋_GBK" w:hint="eastAsia"/>
                <w:sz w:val="16"/>
                <w:szCs w:val="16"/>
              </w:rPr>
              <w:t>公园</w:t>
            </w:r>
          </w:p>
        </w:tc>
        <w:tc>
          <w:tcPr>
            <w:tcW w:w="1826"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0"/>
              <w:jc w:val="center"/>
              <w:rPr>
                <w:sz w:val="16"/>
                <w:szCs w:val="16"/>
              </w:rPr>
            </w:pPr>
            <w:r>
              <w:rPr>
                <w:sz w:val="16"/>
                <w:szCs w:val="16"/>
              </w:rPr>
              <w:t>180304</w:t>
            </w:r>
          </w:p>
        </w:tc>
        <w:tc>
          <w:tcPr>
            <w:tcW w:w="2142"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855"/>
              <w:rPr>
                <w:rFonts w:cstheme="minorBidi"/>
                <w:sz w:val="16"/>
                <w:szCs w:val="16"/>
              </w:rPr>
            </w:pPr>
            <w:r>
              <w:rPr>
                <w:sz w:val="16"/>
                <w:szCs w:val="16"/>
              </w:rPr>
              <w:t>15</w:t>
            </w:r>
            <w:r>
              <w:rPr>
                <w:rFonts w:cs="方正书宋_GBK" w:hint="eastAsia"/>
                <w:sz w:val="16"/>
                <w:szCs w:val="16"/>
              </w:rPr>
              <w:t>分钟</w:t>
            </w:r>
          </w:p>
        </w:tc>
      </w:tr>
      <w:tr w:rsidR="00B158E6">
        <w:trPr>
          <w:trHeight w:val="312"/>
          <w:jc w:val="center"/>
        </w:trPr>
        <w:tc>
          <w:tcPr>
            <w:tcW w:w="1681" w:type="dxa"/>
            <w:tcBorders>
              <w:top w:val="nil"/>
              <w:left w:val="nil"/>
              <w:bottom w:val="single" w:sz="8" w:space="0" w:color="auto"/>
              <w:right w:val="nil"/>
            </w:tcBorders>
            <w:tcMar>
              <w:top w:w="-1" w:type="dxa"/>
              <w:left w:w="-1" w:type="dxa"/>
              <w:bottom w:w="-1" w:type="dxa"/>
              <w:right w:w="-1" w:type="dxa"/>
            </w:tcMar>
            <w:vAlign w:val="center"/>
          </w:tcPr>
          <w:p w:rsidR="00B158E6" w:rsidRDefault="00B158E6">
            <w:pPr>
              <w:spacing w:line="240" w:lineRule="auto"/>
              <w:ind w:firstLine="492"/>
              <w:rPr>
                <w:rFonts w:cstheme="minorBidi"/>
                <w:sz w:val="16"/>
                <w:szCs w:val="16"/>
              </w:rPr>
            </w:pPr>
          </w:p>
        </w:tc>
        <w:tc>
          <w:tcPr>
            <w:tcW w:w="2289" w:type="dxa"/>
            <w:tcBorders>
              <w:top w:val="nil"/>
              <w:left w:val="nil"/>
              <w:bottom w:val="single" w:sz="8" w:space="0" w:color="auto"/>
              <w:right w:val="nil"/>
            </w:tcBorders>
            <w:tcMar>
              <w:top w:w="-1" w:type="dxa"/>
              <w:left w:w="-1" w:type="dxa"/>
              <w:bottom w:w="-1" w:type="dxa"/>
              <w:right w:w="-1" w:type="dxa"/>
            </w:tcMar>
            <w:vAlign w:val="center"/>
          </w:tcPr>
          <w:p w:rsidR="00B158E6" w:rsidRDefault="00B158E6">
            <w:pPr>
              <w:spacing w:line="240" w:lineRule="auto"/>
              <w:ind w:firstLine="617"/>
              <w:rPr>
                <w:rFonts w:cstheme="minorBidi"/>
                <w:sz w:val="16"/>
                <w:szCs w:val="16"/>
              </w:rPr>
            </w:pPr>
            <w:r>
              <w:rPr>
                <w:rFonts w:cs="方正书宋_GBK" w:hint="eastAsia"/>
                <w:sz w:val="16"/>
                <w:szCs w:val="16"/>
              </w:rPr>
              <w:t>广场</w:t>
            </w:r>
          </w:p>
        </w:tc>
        <w:tc>
          <w:tcPr>
            <w:tcW w:w="1826" w:type="dxa"/>
            <w:tcBorders>
              <w:top w:val="nil"/>
              <w:left w:val="nil"/>
              <w:bottom w:val="single" w:sz="8" w:space="0" w:color="auto"/>
              <w:right w:val="nil"/>
            </w:tcBorders>
            <w:tcMar>
              <w:top w:w="-1" w:type="dxa"/>
              <w:left w:w="-1" w:type="dxa"/>
              <w:bottom w:w="-1" w:type="dxa"/>
              <w:right w:w="-1" w:type="dxa"/>
            </w:tcMar>
            <w:vAlign w:val="center"/>
          </w:tcPr>
          <w:p w:rsidR="00B158E6" w:rsidRDefault="00B158E6">
            <w:pPr>
              <w:spacing w:line="240" w:lineRule="auto"/>
              <w:ind w:firstLine="0"/>
              <w:jc w:val="center"/>
              <w:rPr>
                <w:sz w:val="16"/>
                <w:szCs w:val="16"/>
              </w:rPr>
            </w:pPr>
            <w:r>
              <w:rPr>
                <w:sz w:val="16"/>
                <w:szCs w:val="16"/>
              </w:rPr>
              <w:t>180306</w:t>
            </w:r>
          </w:p>
        </w:tc>
        <w:tc>
          <w:tcPr>
            <w:tcW w:w="2142" w:type="dxa"/>
            <w:tcBorders>
              <w:top w:val="nil"/>
              <w:left w:val="nil"/>
              <w:bottom w:val="single" w:sz="8" w:space="0" w:color="auto"/>
              <w:right w:val="nil"/>
            </w:tcBorders>
            <w:tcMar>
              <w:top w:w="-1" w:type="dxa"/>
              <w:left w:w="-1" w:type="dxa"/>
              <w:bottom w:w="-1" w:type="dxa"/>
              <w:right w:w="-1" w:type="dxa"/>
            </w:tcMar>
            <w:vAlign w:val="center"/>
          </w:tcPr>
          <w:p w:rsidR="00B158E6" w:rsidRDefault="00B158E6">
            <w:pPr>
              <w:spacing w:line="240" w:lineRule="auto"/>
              <w:ind w:firstLine="855"/>
              <w:rPr>
                <w:rFonts w:cstheme="minorBidi"/>
                <w:sz w:val="16"/>
                <w:szCs w:val="16"/>
              </w:rPr>
            </w:pPr>
            <w:r>
              <w:rPr>
                <w:sz w:val="16"/>
                <w:szCs w:val="16"/>
              </w:rPr>
              <w:t>15</w:t>
            </w:r>
            <w:r>
              <w:rPr>
                <w:rFonts w:cs="方正书宋_GBK" w:hint="eastAsia"/>
                <w:sz w:val="16"/>
                <w:szCs w:val="16"/>
              </w:rPr>
              <w:t>分钟</w:t>
            </w:r>
          </w:p>
        </w:tc>
      </w:tr>
    </w:tbl>
    <w:p w:rsidR="00B158E6" w:rsidRDefault="00B158E6">
      <w:pPr>
        <w:rPr>
          <w:rStyle w:val="a8"/>
          <w:rFonts w:cstheme="minorBidi"/>
        </w:rPr>
      </w:pPr>
    </w:p>
    <w:p w:rsidR="00B158E6" w:rsidRDefault="00B158E6">
      <w:pPr>
        <w:pStyle w:val="40"/>
        <w:rPr>
          <w:rStyle w:val="a8"/>
          <w:rFonts w:cstheme="minorBidi"/>
          <w:b w:val="0"/>
          <w:bCs w:val="0"/>
        </w:rPr>
      </w:pPr>
      <w:r>
        <w:rPr>
          <w:rStyle w:val="a8"/>
        </w:rPr>
        <w:t xml:space="preserve">2.3  </w:t>
      </w:r>
      <w:r>
        <w:rPr>
          <w:rStyle w:val="a8"/>
          <w:rFonts w:hAnsi="黑体" w:cs="黑体" w:hint="eastAsia"/>
          <w:b w:val="0"/>
          <w:bCs w:val="0"/>
        </w:rPr>
        <w:t>数据结构与变量设定</w:t>
      </w:r>
    </w:p>
    <w:p w:rsidR="00B158E6" w:rsidRDefault="00B158E6">
      <w:pPr>
        <w:spacing w:line="276" w:lineRule="auto"/>
        <w:rPr>
          <w:rFonts w:cstheme="minorBidi"/>
        </w:rPr>
      </w:pPr>
      <w:r>
        <w:rPr>
          <w:rFonts w:cs="方正书宋_GBK" w:hint="eastAsia"/>
          <w:spacing w:val="2"/>
        </w:rPr>
        <w:t>需求侧采用栅格化人口数据表示空间需求强度，每一需求单元以人口规模</w:t>
      </w:r>
      <w:r w:rsidRPr="00C92DA1">
        <w:rPr>
          <w:rFonts w:cstheme="minorBidi"/>
          <w:spacing w:val="2"/>
          <w:position w:val="-10"/>
        </w:rPr>
        <w:object w:dxaOrig="260" w:dyaOrig="300">
          <v:shape id="_x0000_i1026" type="#_x0000_t75" style="width:12.75pt;height:15pt" o:ole="">
            <v:imagedata r:id="rId8" o:title=""/>
          </v:shape>
          <o:OLEObject Type="Embed" ProgID="Equation.DSMT4" ShapeID="_x0000_i1026" DrawAspect="Content" ObjectID="_1855311650" r:id="rId9"/>
        </w:object>
      </w:r>
      <w:r>
        <w:rPr>
          <w:rFonts w:cs="方正书宋_GBK" w:hint="eastAsia"/>
          <w:spacing w:val="2"/>
        </w:rPr>
        <w:t>表征潜在服务需求，其数值来源于字段</w:t>
      </w:r>
      <w:r w:rsidRPr="00C92DA1">
        <w:rPr>
          <w:rFonts w:cstheme="minorBidi"/>
          <w:spacing w:val="2"/>
          <w:position w:val="-10"/>
        </w:rPr>
        <w:object w:dxaOrig="880" w:dyaOrig="300">
          <v:shape id="_x0000_i1027" type="#_x0000_t75" style="width:43.5pt;height:15pt" o:ole="">
            <v:imagedata r:id="rId10" o:title=""/>
          </v:shape>
          <o:OLEObject Type="Embed" ProgID="Equation.DSMT4" ShapeID="_x0000_i1027" DrawAspect="Content" ObjectID="_1855311651" r:id="rId11"/>
        </w:object>
      </w:r>
      <w:r>
        <w:rPr>
          <w:rFonts w:cs="方正书宋_GBK" w:hint="eastAsia"/>
          <w:spacing w:val="2"/>
        </w:rPr>
        <w:t>。该变量在模型中直接参与供需比计算，用于反映不同空间单元的需求规模差异。供给侧由</w:t>
      </w:r>
      <w:r>
        <w:rPr>
          <w:spacing w:val="2"/>
        </w:rPr>
        <w:t>6</w:t>
      </w:r>
      <w:r>
        <w:rPr>
          <w:rFonts w:cs="方正书宋_GBK" w:hint="eastAsia"/>
          <w:spacing w:val="2"/>
        </w:rPr>
        <w:t>类设施构成，各类设施在语义清洗与分类后形成结构统一的数据形式，每一设施单元</w:t>
      </w:r>
      <w:r w:rsidRPr="00C92DA1">
        <w:rPr>
          <w:rFonts w:cstheme="minorBidi"/>
          <w:spacing w:val="2"/>
          <w:position w:val="-10"/>
        </w:rPr>
        <w:object w:dxaOrig="180" w:dyaOrig="279">
          <v:shape id="_x0000_i1028" type="#_x0000_t75" style="width:9pt;height:12.75pt" o:ole="">
            <v:imagedata r:id="rId12" o:title=""/>
          </v:shape>
          <o:OLEObject Type="Embed" ProgID="Equation.DSMT4" ShapeID="_x0000_i1028" DrawAspect="Content" ObjectID="_1855311652" r:id="rId13"/>
        </w:object>
      </w:r>
      <w:r>
        <w:rPr>
          <w:rFonts w:cs="方正书宋_GBK" w:hint="eastAsia"/>
          <w:spacing w:val="2"/>
        </w:rPr>
        <w:t>均包含服务半径（</w:t>
      </w:r>
      <w:r w:rsidRPr="00C92DA1">
        <w:rPr>
          <w:rFonts w:cstheme="minorBidi"/>
          <w:spacing w:val="2"/>
          <w:position w:val="-10"/>
        </w:rPr>
        <w:object w:dxaOrig="880" w:dyaOrig="300">
          <v:shape id="_x0000_i1029" type="#_x0000_t75" style="width:43.5pt;height:15pt" o:ole="">
            <v:imagedata r:id="rId14" o:title=""/>
          </v:shape>
          <o:OLEObject Type="Embed" ProgID="Equation.DSMT4" ShapeID="_x0000_i1029" DrawAspect="Content" ObjectID="_1855311653" r:id="rId15"/>
        </w:object>
      </w:r>
      <w:r>
        <w:rPr>
          <w:rFonts w:cs="方正书宋_GBK" w:hint="eastAsia"/>
          <w:spacing w:val="2"/>
        </w:rPr>
        <w:t>）、距离衰减参数（</w:t>
      </w:r>
      <w:r w:rsidRPr="00C92DA1">
        <w:rPr>
          <w:rFonts w:cstheme="minorBidi"/>
          <w:spacing w:val="2"/>
          <w:position w:val="-6"/>
        </w:rPr>
        <w:object w:dxaOrig="180" w:dyaOrig="200">
          <v:shape id="_x0000_i1030" type="#_x0000_t75" style="width:9pt;height:10.5pt" o:ole="">
            <v:imagedata r:id="rId16" o:title=""/>
          </v:shape>
          <o:OLEObject Type="Embed" ProgID="Equation.DSMT4" ShapeID="_x0000_i1030" DrawAspect="Content" ObjectID="_1855311654" r:id="rId17"/>
        </w:object>
      </w:r>
      <w:r>
        <w:rPr>
          <w:rFonts w:cs="方正书宋_GBK" w:hint="eastAsia"/>
          <w:spacing w:val="2"/>
        </w:rPr>
        <w:t>）及供给能力（</w:t>
      </w:r>
      <w:r w:rsidRPr="00C92DA1">
        <w:rPr>
          <w:rFonts w:cstheme="minorBidi"/>
          <w:spacing w:val="2"/>
          <w:position w:val="-10"/>
        </w:rPr>
        <w:object w:dxaOrig="880" w:dyaOrig="300">
          <v:shape id="_x0000_i1031" type="#_x0000_t75" style="width:43.5pt;height:15pt" o:ole="">
            <v:imagedata r:id="rId18" o:title=""/>
          </v:shape>
          <o:OLEObject Type="Embed" ProgID="Equation.DSMT4" ShapeID="_x0000_i1031" DrawAspect="Content" ObjectID="_1855311655" r:id="rId19"/>
        </w:object>
      </w:r>
      <w:r>
        <w:rPr>
          <w:rFonts w:cs="方正书宋_GBK" w:hint="eastAsia"/>
          <w:spacing w:val="2"/>
        </w:rPr>
        <w:t>）三个核心参数。</w:t>
      </w:r>
      <w:r w:rsidRPr="00C92DA1">
        <w:rPr>
          <w:rFonts w:cstheme="minorBidi"/>
          <w:spacing w:val="2"/>
          <w:position w:val="-10"/>
        </w:rPr>
        <w:object w:dxaOrig="880" w:dyaOrig="300">
          <v:shape id="_x0000_i1032" type="#_x0000_t75" style="width:43.5pt;height:15pt" o:ole="">
            <v:imagedata r:id="rId20" o:title=""/>
          </v:shape>
          <o:OLEObject Type="Embed" ProgID="Equation.DSMT4" ShapeID="_x0000_i1032" DrawAspect="Content" ObjectID="_1855311656" r:id="rId21"/>
        </w:object>
      </w:r>
      <w:r>
        <w:rPr>
          <w:rFonts w:cs="方正书宋_GBK" w:hint="eastAsia"/>
          <w:spacing w:val="2"/>
        </w:rPr>
        <w:t>用于限定服务作用范围，</w:t>
      </w:r>
      <w:r w:rsidRPr="00C92DA1">
        <w:rPr>
          <w:rFonts w:cstheme="minorBidi"/>
          <w:spacing w:val="2"/>
          <w:position w:val="-6"/>
        </w:rPr>
        <w:object w:dxaOrig="180" w:dyaOrig="200">
          <v:shape id="_x0000_i1033" type="#_x0000_t75" style="width:9pt;height:10.5pt" o:ole="">
            <v:imagedata r:id="rId22" o:title=""/>
          </v:shape>
          <o:OLEObject Type="Embed" ProgID="Equation.DSMT4" ShapeID="_x0000_i1033" DrawAspect="Content" ObjectID="_1855311657" r:id="rId23"/>
        </w:object>
      </w:r>
      <w:r>
        <w:rPr>
          <w:rFonts w:cs="方正书宋_GBK" w:hint="eastAsia"/>
          <w:spacing w:val="2"/>
        </w:rPr>
        <w:t>用于刻画服务影响随距离变化的衰减过程，</w:t>
      </w:r>
      <w:r w:rsidRPr="00C92DA1">
        <w:rPr>
          <w:rFonts w:cstheme="minorBidi"/>
          <w:spacing w:val="2"/>
          <w:position w:val="-10"/>
        </w:rPr>
        <w:object w:dxaOrig="880" w:dyaOrig="300">
          <v:shape id="_x0000_i1034" type="#_x0000_t75" style="width:43.5pt;height:15pt" o:ole="">
            <v:imagedata r:id="rId24" o:title=""/>
          </v:shape>
          <o:OLEObject Type="Embed" ProgID="Equation.DSMT4" ShapeID="_x0000_i1034" DrawAspect="Content" ObjectID="_1855311658" r:id="rId25"/>
        </w:object>
      </w:r>
      <w:r>
        <w:rPr>
          <w:rFonts w:cs="方正书宋_GBK" w:hint="eastAsia"/>
          <w:spacing w:val="2"/>
        </w:rPr>
        <w:t>用于反映设施的相对服务能力。上述参数均</w:t>
      </w:r>
      <w:r>
        <w:rPr>
          <w:rFonts w:cs="方正书宋_GBK" w:hint="eastAsia"/>
        </w:rPr>
        <w:t>基于</w:t>
      </w:r>
      <w:r>
        <w:t xml:space="preserve"> POI </w:t>
      </w:r>
      <w:r>
        <w:rPr>
          <w:rFonts w:cs="方正书宋_GBK" w:hint="eastAsia"/>
        </w:rPr>
        <w:t>中类分类结果进行赋值，以保证不同设施在模型中的表达具有一致的逻辑基础</w:t>
      </w:r>
      <w:r>
        <w:rPr>
          <w:vertAlign w:val="superscript"/>
        </w:rPr>
        <w:t>[22]</w:t>
      </w:r>
      <w:r>
        <w:rPr>
          <w:rFonts w:cs="方正书宋_GBK" w:hint="eastAsia"/>
        </w:rPr>
        <w:t>。</w:t>
      </w:r>
    </w:p>
    <w:p w:rsidR="00B158E6" w:rsidRDefault="00B158E6">
      <w:pPr>
        <w:pStyle w:val="40"/>
        <w:rPr>
          <w:rFonts w:cstheme="minorBidi"/>
        </w:rPr>
      </w:pPr>
      <w:r>
        <w:rPr>
          <w:b/>
          <w:bCs/>
        </w:rPr>
        <w:t>2.4</w:t>
      </w:r>
      <w:r>
        <w:t xml:space="preserve">  </w:t>
      </w:r>
      <w:r>
        <w:rPr>
          <w:rFonts w:cs="黑体" w:hint="eastAsia"/>
        </w:rPr>
        <w:t>层级划分与参数体系构建</w:t>
      </w:r>
    </w:p>
    <w:p w:rsidR="00B158E6" w:rsidRDefault="00B158E6">
      <w:pPr>
        <w:spacing w:line="281" w:lineRule="auto"/>
        <w:rPr>
          <w:rFonts w:ascii="方正书宋_GBK" w:cstheme="minorBidi"/>
        </w:rPr>
      </w:pPr>
      <w:r>
        <w:rPr>
          <w:rFonts w:hAnsi="方正书宋_GBK" w:cs="方正书宋_GBK" w:hint="eastAsia"/>
        </w:rPr>
        <w:t>为避免直接按设施类别赋予参数所带来的主观性，本研究引入层级划分对不同类型设施进行统一表达。层级划分以设施的服务覆盖尺度与服务对象范围为依据，将设施划分为</w:t>
      </w:r>
      <w:r>
        <w:rPr>
          <w:rFonts w:hAnsi="方正书宋_GBK"/>
        </w:rPr>
        <w:t>5</w:t>
      </w:r>
      <w:r>
        <w:rPr>
          <w:rFonts w:hAnsi="方正书宋_GBK" w:cs="方正书宋_GBK" w:hint="eastAsia"/>
        </w:rPr>
        <w:t>个等级</w:t>
      </w:r>
      <w:r>
        <w:rPr>
          <w:rFonts w:cs="方正书宋_GBK" w:hint="eastAsia"/>
        </w:rPr>
        <w:t>（</w:t>
      </w:r>
      <w:r>
        <w:t>L1–L5</w:t>
      </w:r>
      <w:r>
        <w:rPr>
          <w:rFonts w:cs="方正书宋_GBK" w:hint="eastAsia"/>
        </w:rPr>
        <w:t>）</w:t>
      </w:r>
      <w:r>
        <w:rPr>
          <w:rFonts w:hAnsi="方正书宋_GBK" w:cs="方正书宋_GBK" w:hint="eastAsia"/>
        </w:rPr>
        <w:t>。其中，能够跨区域提供服务、覆盖范围较广的设施被划为高层级，而服务范围局限于局部空间、以日常需求为主的设施划为低层级。该划分方式使不同类型设施在统一尺度下转化为可比较的分析单元，从而为参数设定提供基础。</w:t>
      </w:r>
    </w:p>
    <w:p w:rsidR="00B158E6" w:rsidRDefault="00B158E6">
      <w:pPr>
        <w:spacing w:line="281" w:lineRule="auto"/>
        <w:rPr>
          <w:rFonts w:ascii="方正书宋_GBK" w:cstheme="minorBidi"/>
        </w:rPr>
      </w:pPr>
      <w:r>
        <w:rPr>
          <w:rFonts w:hAnsi="方正书宋_GBK" w:cs="方正书宋_GBK" w:hint="eastAsia"/>
        </w:rPr>
        <w:lastRenderedPageBreak/>
        <w:t>在层级体系下，服务半径、距离衰减参数与供给能力之间形成一致的对应关系：服务半径随层级提升而增大，以反映高层级设施更广的服务范围；距离衰减参数与服务半径保持同一量级，使服务影响在空间上呈现连续递减；供给能力随层级提升而增加，用以体现不同设施在服务供给上的差异。三类参数的协同设定，使模型能够同时表达服务范围、服务强度与空间衰减机制</w:t>
      </w:r>
      <w:r>
        <w:rPr>
          <w:vertAlign w:val="superscript"/>
        </w:rPr>
        <w:t>[23]</w:t>
      </w:r>
      <w:r>
        <w:rPr>
          <w:rFonts w:hAnsi="方正书宋_GBK" w:cs="方正书宋_GBK" w:hint="eastAsia"/>
        </w:rPr>
        <w:t>。</w:t>
      </w:r>
    </w:p>
    <w:p w:rsidR="00B158E6" w:rsidRDefault="00B158E6">
      <w:pPr>
        <w:pStyle w:val="40"/>
        <w:spacing w:line="281" w:lineRule="auto"/>
        <w:rPr>
          <w:rFonts w:cstheme="minorBidi"/>
        </w:rPr>
      </w:pPr>
      <w:r>
        <w:rPr>
          <w:b/>
          <w:bCs/>
        </w:rPr>
        <w:t>2.5</w:t>
      </w:r>
      <w:r>
        <w:t xml:space="preserve">  </w:t>
      </w:r>
      <w:r>
        <w:rPr>
          <w:rFonts w:cs="黑体" w:hint="eastAsia"/>
        </w:rPr>
        <w:t>距离测度与空间一致性处理</w:t>
      </w:r>
    </w:p>
    <w:p w:rsidR="00B158E6" w:rsidRDefault="00B158E6">
      <w:pPr>
        <w:spacing w:line="281" w:lineRule="auto"/>
        <w:rPr>
          <w:rFonts w:cstheme="minorBidi"/>
        </w:rPr>
      </w:pPr>
      <w:r>
        <w:rPr>
          <w:rFonts w:cs="方正书宋_GBK" w:hint="eastAsia"/>
        </w:rPr>
        <w:t>为保证空间距离计算与模型参数设定的一致性，所有空间数据在计算前统一投影至同一米制坐标系，使服务半径（</w:t>
      </w:r>
      <w:r w:rsidRPr="00C92DA1">
        <w:rPr>
          <w:rFonts w:cstheme="minorBidi"/>
          <w:position w:val="-10"/>
        </w:rPr>
        <w:object w:dxaOrig="880" w:dyaOrig="300">
          <v:shape id="_x0000_i1035" type="#_x0000_t75" style="width:43.5pt;height:15pt" o:ole="">
            <v:imagedata r:id="rId26" o:title=""/>
          </v:shape>
          <o:OLEObject Type="Embed" ProgID="Equation.DSMT4" ShapeID="_x0000_i1035" DrawAspect="Content" ObjectID="_1855311659" r:id="rId27"/>
        </w:object>
      </w:r>
      <w:r>
        <w:rPr>
          <w:rFonts w:cs="方正书宋_GBK" w:hint="eastAsia"/>
        </w:rPr>
        <w:t>）与距离衰减参数（</w:t>
      </w:r>
      <w:r w:rsidRPr="00C92DA1">
        <w:rPr>
          <w:rFonts w:cstheme="minorBidi"/>
          <w:position w:val="-6"/>
        </w:rPr>
        <w:object w:dxaOrig="180" w:dyaOrig="200">
          <v:shape id="_x0000_i1036" type="#_x0000_t75" style="width:9pt;height:10.5pt" o:ole="">
            <v:imagedata r:id="rId28" o:title=""/>
          </v:shape>
          <o:OLEObject Type="Embed" ProgID="Equation.DSMT4" ShapeID="_x0000_i1036" DrawAspect="Content" ObjectID="_1855311660" r:id="rId29"/>
        </w:object>
      </w:r>
      <w:r>
        <w:rPr>
          <w:rFonts w:cs="方正书宋_GBK" w:hint="eastAsia"/>
        </w:rPr>
        <w:t>）具有统一的度量单位。在此基础上，采用欧氏距离刻画需求点与设施点之间的空间关系，其表达形式为：</w:t>
      </w:r>
    </w:p>
    <w:p w:rsidR="00B158E6" w:rsidRDefault="00B158E6">
      <w:pPr>
        <w:tabs>
          <w:tab w:val="center" w:pos="4270"/>
          <w:tab w:val="right" w:pos="8021"/>
        </w:tabs>
        <w:spacing w:line="281" w:lineRule="auto"/>
        <w:ind w:firstLine="0"/>
      </w:pPr>
      <w:r>
        <w:rPr>
          <w:rFonts w:cstheme="minorBidi"/>
        </w:rPr>
        <w:tab/>
      </w:r>
      <w:r w:rsidRPr="00C92DA1">
        <w:rPr>
          <w:rFonts w:cstheme="minorBidi"/>
          <w:position w:val="-16"/>
        </w:rPr>
        <w:object w:dxaOrig="2260" w:dyaOrig="460">
          <v:shape id="_x0000_i1037" type="#_x0000_t75" style="width:113.25pt;height:23.25pt" o:ole="">
            <v:imagedata r:id="rId30" o:title=""/>
          </v:shape>
          <o:OLEObject Type="Embed" ProgID="Equation.DSMT4" ShapeID="_x0000_i1037" DrawAspect="Content" ObjectID="_1855311661" r:id="rId31"/>
        </w:object>
      </w:r>
      <w:r>
        <w:rPr>
          <w:rFonts w:cstheme="minorBidi"/>
        </w:rPr>
        <w:tab/>
      </w:r>
      <w:r>
        <w:t>(1)</w:t>
      </w:r>
    </w:p>
    <w:p w:rsidR="00B158E6" w:rsidRDefault="00B158E6">
      <w:pPr>
        <w:spacing w:line="281" w:lineRule="auto"/>
        <w:ind w:firstLine="0"/>
        <w:rPr>
          <w:rFonts w:cstheme="minorBidi"/>
        </w:rPr>
      </w:pPr>
      <w:r>
        <w:rPr>
          <w:rFonts w:cs="方正书宋_GBK" w:hint="eastAsia"/>
        </w:rPr>
        <w:t>式中，</w:t>
      </w:r>
      <w:r w:rsidRPr="00C92DA1">
        <w:rPr>
          <w:rFonts w:cstheme="minorBidi"/>
          <w:position w:val="-14"/>
        </w:rPr>
        <w:object w:dxaOrig="260" w:dyaOrig="340">
          <v:shape id="_x0000_i1038" type="#_x0000_t75" style="width:12.75pt;height:16.5pt" o:ole="">
            <v:imagedata r:id="rId32" o:title=""/>
          </v:shape>
          <o:OLEObject Type="Embed" ProgID="Equation.DSMT4" ShapeID="_x0000_i1038" DrawAspect="Content" ObjectID="_1855311662" r:id="rId33"/>
        </w:object>
      </w:r>
      <w:r>
        <w:rPr>
          <w:rFonts w:cs="方正书宋_GBK" w:hint="eastAsia"/>
        </w:rPr>
        <w:t>表示需求点</w:t>
      </w:r>
      <w:r w:rsidRPr="00C92DA1">
        <w:rPr>
          <w:rFonts w:cstheme="minorBidi"/>
          <w:position w:val="-6"/>
        </w:rPr>
        <w:object w:dxaOrig="139" w:dyaOrig="240">
          <v:shape id="_x0000_i1039" type="#_x0000_t75" style="width:6.75pt;height:12pt" o:ole="">
            <v:imagedata r:id="rId34" o:title=""/>
          </v:shape>
          <o:OLEObject Type="Embed" ProgID="Equation.DSMT4" ShapeID="_x0000_i1039" DrawAspect="Content" ObjectID="_1855311663" r:id="rId35"/>
        </w:object>
      </w:r>
      <w:r>
        <w:rPr>
          <w:rFonts w:cs="方正书宋_GBK" w:hint="eastAsia"/>
        </w:rPr>
        <w:t>与设施点</w:t>
      </w:r>
      <w:r w:rsidRPr="00C92DA1">
        <w:rPr>
          <w:rFonts w:cstheme="minorBidi"/>
          <w:position w:val="-10"/>
        </w:rPr>
        <w:object w:dxaOrig="180" w:dyaOrig="279">
          <v:shape id="_x0000_i1040" type="#_x0000_t75" style="width:9pt;height:12.75pt" o:ole="">
            <v:imagedata r:id="rId36" o:title=""/>
          </v:shape>
          <o:OLEObject Type="Embed" ProgID="Equation.DSMT4" ShapeID="_x0000_i1040" DrawAspect="Content" ObjectID="_1855311664" r:id="rId37"/>
        </w:object>
      </w:r>
      <w:r>
        <w:rPr>
          <w:rFonts w:cs="方正书宋_GBK" w:hint="eastAsia"/>
        </w:rPr>
        <w:t>之间的空间距离，</w:t>
      </w:r>
      <w:r w:rsidRPr="00C92DA1">
        <w:rPr>
          <w:rFonts w:cstheme="minorBidi"/>
          <w:position w:val="-10"/>
        </w:rPr>
        <w:object w:dxaOrig="600" w:dyaOrig="300">
          <v:shape id="_x0000_i1041" type="#_x0000_t75" style="width:30pt;height:14.25pt" o:ole="">
            <v:imagedata r:id="rId38" o:title=""/>
          </v:shape>
          <o:OLEObject Type="Embed" ProgID="Equation.DSMT4" ShapeID="_x0000_i1041" DrawAspect="Content" ObjectID="_1855311665" r:id="rId39"/>
        </w:object>
      </w:r>
      <w:r w:rsidR="00C92DA1">
        <w:fldChar w:fldCharType="begin"/>
      </w:r>
      <w:r>
        <w:instrText xml:space="preserve"> QUOTE </w:instrText>
      </w:r>
      <w:r w:rsidR="009A1B3A" w:rsidRPr="00C92DA1">
        <w:rPr>
          <w:rFonts w:cstheme="minorBidi"/>
        </w:rPr>
        <w:pict>
          <v:shape id="_x0000_i1042" type="#_x0000_t75" style="width:34.5pt;height:13.5pt">
            <v:imagedata r:id="rId40" o:title="" chromakey="white"/>
          </v:shape>
        </w:pict>
      </w:r>
      <w:r>
        <w:instrText xml:space="preserve"> </w:instrText>
      </w:r>
      <w:r w:rsidR="00C92DA1">
        <w:fldChar w:fldCharType="end"/>
      </w:r>
      <w:r>
        <w:rPr>
          <w:rFonts w:cs="方正书宋_GBK" w:hint="eastAsia"/>
        </w:rPr>
        <w:t>与</w:t>
      </w:r>
      <w:r w:rsidRPr="00C92DA1">
        <w:rPr>
          <w:rFonts w:cstheme="minorBidi"/>
          <w:position w:val="-14"/>
        </w:rPr>
        <w:object w:dxaOrig="660" w:dyaOrig="340">
          <v:shape id="_x0000_i1043" type="#_x0000_t75" style="width:32.25pt;height:16.5pt" o:ole="">
            <v:imagedata r:id="rId41" o:title=""/>
          </v:shape>
          <o:OLEObject Type="Embed" ProgID="Equation.DSMT4" ShapeID="_x0000_i1043" DrawAspect="Content" ObjectID="_1855311666" r:id="rId42"/>
        </w:object>
      </w:r>
      <w:r>
        <w:rPr>
          <w:rFonts w:cs="方正书宋_GBK" w:hint="eastAsia"/>
        </w:rPr>
        <w:t>分别为对应点的平面坐标。采用欧氏距离的主要考虑在于，其能够在统一空间参考下直接反映设施与人口的空间分布关系，并在计算效率与稳定性之间取得平衡，从而适用于多类型设施的大规模可达性分析。同时，在引入高斯衰减函数的前提下，距离对服务影响的作用以连续形式表达，使欧氏距离能够满足模型对空间梯度变化的刻画需求</w:t>
      </w:r>
      <w:r>
        <w:rPr>
          <w:vertAlign w:val="superscript"/>
        </w:rPr>
        <w:t>[24]</w:t>
      </w:r>
      <w:r>
        <w:rPr>
          <w:rFonts w:cs="方正书宋_GBK" w:hint="eastAsia"/>
        </w:rPr>
        <w:t>。</w:t>
      </w:r>
    </w:p>
    <w:p w:rsidR="00B158E6" w:rsidRDefault="00B158E6">
      <w:pPr>
        <w:pStyle w:val="40"/>
        <w:spacing w:line="281" w:lineRule="auto"/>
        <w:rPr>
          <w:rFonts w:cstheme="minorBidi"/>
        </w:rPr>
      </w:pPr>
      <w:r>
        <w:rPr>
          <w:b/>
          <w:bCs/>
        </w:rPr>
        <w:t>2.6  MRGS2SFCA</w:t>
      </w:r>
      <w:r>
        <w:rPr>
          <w:rFonts w:cs="黑体" w:hint="eastAsia"/>
        </w:rPr>
        <w:t>模型实现与多类型耦合</w:t>
      </w:r>
    </w:p>
    <w:p w:rsidR="00B158E6" w:rsidRDefault="00B158E6">
      <w:pPr>
        <w:spacing w:line="281" w:lineRule="auto"/>
        <w:rPr>
          <w:rFonts w:cstheme="minorBidi"/>
        </w:rPr>
      </w:pPr>
      <w:r>
        <w:rPr>
          <w:rFonts w:cs="方正书宋_GBK" w:hint="eastAsia"/>
        </w:rPr>
        <w:t>在前述数据结构与层级参数体系基础上，本研究采用改进的高斯两步浮动搜寻法测度公共服务设施可达性。需求侧以人口栅格表示空间需求强度，每个需求单元以人口规模</w:t>
      </w:r>
      <w:r>
        <w:rPr>
          <w:rFonts w:hAnsi="宋体" w:cs="方正书宋_GBK" w:hint="eastAsia"/>
        </w:rPr>
        <w:t>（</w:t>
      </w:r>
      <w:r w:rsidRPr="00C92DA1">
        <w:rPr>
          <w:rFonts w:cstheme="minorBidi"/>
          <w:position w:val="-10"/>
        </w:rPr>
        <w:object w:dxaOrig="260" w:dyaOrig="300">
          <v:shape id="_x0000_i1044" type="#_x0000_t75" style="width:12.75pt;height:15pt" o:ole="">
            <v:imagedata r:id="rId43" o:title=""/>
          </v:shape>
          <o:OLEObject Type="Embed" ProgID="Equation.DSMT4" ShapeID="_x0000_i1044" DrawAspect="Content" ObjectID="_1855311667" r:id="rId44"/>
        </w:object>
      </w:r>
      <w:r>
        <w:rPr>
          <w:rFonts w:hAnsi="宋体" w:cs="方正书宋_GBK" w:hint="eastAsia"/>
        </w:rPr>
        <w:t>）</w:t>
      </w:r>
      <w:r>
        <w:rPr>
          <w:rFonts w:cs="方正书宋_GBK" w:hint="eastAsia"/>
        </w:rPr>
        <w:t>表示潜在服务需求；供给侧由六类公共服务设施构成，每个设施单元包含服务半径</w:t>
      </w:r>
      <w:r>
        <w:rPr>
          <w:rFonts w:hAnsi="宋体" w:cs="方正书宋_GBK" w:hint="eastAsia"/>
        </w:rPr>
        <w:t>（</w:t>
      </w:r>
      <w:r w:rsidRPr="00C92DA1">
        <w:rPr>
          <w:rFonts w:cstheme="minorBidi"/>
          <w:position w:val="-14"/>
        </w:rPr>
        <w:object w:dxaOrig="300" w:dyaOrig="340">
          <v:shape id="_x0000_i1045" type="#_x0000_t75" style="width:15pt;height:16.5pt" o:ole="">
            <v:imagedata r:id="rId45" o:title=""/>
          </v:shape>
          <o:OLEObject Type="Embed" ProgID="Equation.DSMT4" ShapeID="_x0000_i1045" DrawAspect="Content" ObjectID="_1855311668" r:id="rId46"/>
        </w:object>
      </w:r>
      <w:r>
        <w:rPr>
          <w:rFonts w:hAnsi="宋体" w:cs="方正书宋_GBK" w:hint="eastAsia"/>
        </w:rPr>
        <w:t>）</w:t>
      </w:r>
      <w:r>
        <w:rPr>
          <w:rFonts w:cs="方正书宋_GBK" w:hint="eastAsia"/>
        </w:rPr>
        <w:t>、距离衰减参数</w:t>
      </w:r>
      <w:r>
        <w:rPr>
          <w:rFonts w:hAnsi="宋体" w:cs="方正书宋_GBK" w:hint="eastAsia"/>
        </w:rPr>
        <w:t>（</w:t>
      </w:r>
      <w:r w:rsidRPr="00C92DA1">
        <w:rPr>
          <w:rFonts w:cstheme="minorBidi"/>
          <w:position w:val="-14"/>
        </w:rPr>
        <w:object w:dxaOrig="279" w:dyaOrig="340">
          <v:shape id="_x0000_i1046" type="#_x0000_t75" style="width:12.75pt;height:16.5pt" o:ole="">
            <v:imagedata r:id="rId47" o:title=""/>
          </v:shape>
          <o:OLEObject Type="Embed" ProgID="Equation.DSMT4" ShapeID="_x0000_i1046" DrawAspect="Content" ObjectID="_1855311669" r:id="rId48"/>
        </w:object>
      </w:r>
      <w:r>
        <w:rPr>
          <w:rFonts w:hAnsi="宋体" w:cs="方正书宋_GBK" w:hint="eastAsia"/>
        </w:rPr>
        <w:t>）</w:t>
      </w:r>
      <w:r>
        <w:rPr>
          <w:rFonts w:cs="方正书宋_GBK" w:hint="eastAsia"/>
        </w:rPr>
        <w:t>和供给能力</w:t>
      </w:r>
      <w:r>
        <w:rPr>
          <w:rFonts w:hAnsi="宋体" w:cs="方正书宋_GBK" w:hint="eastAsia"/>
        </w:rPr>
        <w:t>（</w:t>
      </w:r>
      <w:r w:rsidRPr="00C92DA1">
        <w:rPr>
          <w:rFonts w:cstheme="minorBidi"/>
          <w:position w:val="-14"/>
        </w:rPr>
        <w:object w:dxaOrig="260" w:dyaOrig="340">
          <v:shape id="_x0000_i1047" type="#_x0000_t75" style="width:12.75pt;height:16.5pt" o:ole="">
            <v:imagedata r:id="rId49" o:title=""/>
          </v:shape>
          <o:OLEObject Type="Embed" ProgID="Equation.DSMT4" ShapeID="_x0000_i1047" DrawAspect="Content" ObjectID="_1855311670" r:id="rId50"/>
        </w:object>
      </w:r>
      <w:r>
        <w:rPr>
          <w:rFonts w:hAnsi="宋体" w:cs="方正书宋_GBK" w:hint="eastAsia"/>
        </w:rPr>
        <w:t>）</w:t>
      </w:r>
      <w:r>
        <w:rPr>
          <w:rFonts w:cs="方正书宋_GBK" w:hint="eastAsia"/>
        </w:rPr>
        <w:t>三个核心参数。为保证不同设施类型之间的可比性，各设施首先依据服务覆盖范围和服务层级映射至统一的层级体系，并继承相应参数配置。</w:t>
      </w:r>
    </w:p>
    <w:p w:rsidR="00B158E6" w:rsidRDefault="00B158E6">
      <w:pPr>
        <w:spacing w:line="281" w:lineRule="auto"/>
        <w:rPr>
          <w:rFonts w:cstheme="minorBidi"/>
        </w:rPr>
      </w:pPr>
      <w:r>
        <w:rPr>
          <w:rFonts w:cs="方正书宋_GBK" w:hint="eastAsia"/>
        </w:rPr>
        <w:t>模型计算包括两个步骤。首先，以设施为中心计算供需比：</w:t>
      </w:r>
    </w:p>
    <w:p w:rsidR="00B158E6" w:rsidRDefault="00B158E6">
      <w:pPr>
        <w:tabs>
          <w:tab w:val="center" w:pos="3686"/>
          <w:tab w:val="right" w:pos="7993"/>
        </w:tabs>
        <w:spacing w:line="281" w:lineRule="auto"/>
        <w:ind w:firstLine="0"/>
      </w:pPr>
      <w:r>
        <w:rPr>
          <w:rFonts w:cstheme="minorBidi"/>
        </w:rPr>
        <w:tab/>
      </w:r>
      <w:r w:rsidRPr="00C92DA1">
        <w:rPr>
          <w:rFonts w:cstheme="minorBidi"/>
          <w:position w:val="-66"/>
        </w:rPr>
        <w:object w:dxaOrig="2760" w:dyaOrig="1020">
          <v:shape id="_x0000_i1048" type="#_x0000_t75" style="width:135pt;height:50.25pt" o:ole="">
            <v:imagedata r:id="rId51" o:title=""/>
          </v:shape>
          <o:OLEObject Type="Embed" ProgID="Equation.DSMT4" ShapeID="_x0000_i1048" DrawAspect="Content" ObjectID="_1855311671" r:id="rId52"/>
        </w:object>
      </w:r>
      <w:r>
        <w:rPr>
          <w:rFonts w:cstheme="minorBidi"/>
        </w:rPr>
        <w:tab/>
      </w:r>
      <w:r>
        <w:t>(2)</w:t>
      </w:r>
    </w:p>
    <w:p w:rsidR="00B158E6" w:rsidRDefault="00B158E6">
      <w:pPr>
        <w:spacing w:line="281" w:lineRule="auto"/>
        <w:ind w:firstLine="0"/>
        <w:rPr>
          <w:rFonts w:cstheme="minorBidi"/>
        </w:rPr>
      </w:pPr>
      <w:r>
        <w:rPr>
          <w:rFonts w:cs="方正书宋_GBK" w:hint="eastAsia"/>
        </w:rPr>
        <w:t>式</w:t>
      </w:r>
      <w:r>
        <w:rPr>
          <w:rFonts w:cs="方正书宋_GBK" w:hint="eastAsia"/>
          <w:spacing w:val="-2"/>
        </w:rPr>
        <w:t>中，</w:t>
      </w:r>
      <w:r w:rsidRPr="00C92DA1">
        <w:rPr>
          <w:rFonts w:cstheme="minorBidi"/>
          <w:spacing w:val="-2"/>
          <w:position w:val="-14"/>
        </w:rPr>
        <w:object w:dxaOrig="279" w:dyaOrig="340">
          <v:shape id="_x0000_i1049" type="#_x0000_t75" style="width:12.75pt;height:16.5pt" o:ole="">
            <v:imagedata r:id="rId53" o:title=""/>
          </v:shape>
          <o:OLEObject Type="Embed" ProgID="Equation.DSMT4" ShapeID="_x0000_i1049" DrawAspect="Content" ObjectID="_1855311672" r:id="rId54"/>
        </w:object>
      </w:r>
      <w:r>
        <w:rPr>
          <w:rFonts w:cs="方正书宋_GBK" w:hint="eastAsia"/>
          <w:spacing w:val="-2"/>
        </w:rPr>
        <w:t>表</w:t>
      </w:r>
      <w:r>
        <w:rPr>
          <w:rFonts w:hAnsi="宋体" w:cs="方正书宋_GBK" w:hint="eastAsia"/>
          <w:spacing w:val="-2"/>
        </w:rPr>
        <w:t>示</w:t>
      </w:r>
      <w:r>
        <w:rPr>
          <w:rFonts w:hAnsi="___WRD_EMBED_SUB_45" w:cs="方正书宋_GBK" w:hint="eastAsia"/>
          <w:spacing w:val="-2"/>
        </w:rPr>
        <w:t>设施</w:t>
      </w:r>
      <w:r w:rsidRPr="00C92DA1">
        <w:rPr>
          <w:rFonts w:cstheme="minorBidi"/>
          <w:spacing w:val="-2"/>
          <w:position w:val="-10"/>
        </w:rPr>
        <w:object w:dxaOrig="180" w:dyaOrig="279">
          <v:shape id="_x0000_i1050" type="#_x0000_t75" style="width:9pt;height:12.75pt" o:ole="">
            <v:imagedata r:id="rId55" o:title=""/>
          </v:shape>
          <o:OLEObject Type="Embed" ProgID="Equation.DSMT4" ShapeID="_x0000_i1050" DrawAspect="Content" ObjectID="_1855311673" r:id="rId56"/>
        </w:object>
      </w:r>
      <w:r>
        <w:rPr>
          <w:rFonts w:cs="方正书宋_GBK" w:hint="eastAsia"/>
          <w:spacing w:val="-2"/>
        </w:rPr>
        <w:t>的供需比，</w:t>
      </w:r>
      <w:r w:rsidRPr="00C92DA1">
        <w:rPr>
          <w:rFonts w:cstheme="minorBidi"/>
          <w:spacing w:val="-2"/>
          <w:position w:val="-14"/>
        </w:rPr>
        <w:object w:dxaOrig="260" w:dyaOrig="340">
          <v:shape id="_x0000_i1051" type="#_x0000_t75" style="width:12.75pt;height:16.5pt" o:ole="">
            <v:imagedata r:id="rId57" o:title=""/>
          </v:shape>
          <o:OLEObject Type="Embed" ProgID="Equation.DSMT4" ShapeID="_x0000_i1051" DrawAspect="Content" ObjectID="_1855311674" r:id="rId58"/>
        </w:object>
      </w:r>
      <w:r>
        <w:rPr>
          <w:rFonts w:cs="方正书宋_GBK" w:hint="eastAsia"/>
          <w:spacing w:val="-2"/>
        </w:rPr>
        <w:t>表</w:t>
      </w:r>
      <w:r>
        <w:rPr>
          <w:rFonts w:hAnsi="宋体" w:cs="方正书宋_GBK" w:hint="eastAsia"/>
          <w:spacing w:val="-2"/>
        </w:rPr>
        <w:t>示</w:t>
      </w:r>
      <w:r>
        <w:rPr>
          <w:rFonts w:hAnsi="___WRD_EMBED_SUB_45" w:cs="方正书宋_GBK" w:hint="eastAsia"/>
          <w:spacing w:val="-2"/>
        </w:rPr>
        <w:t>设施供给能力，</w:t>
      </w:r>
      <w:r w:rsidRPr="00C92DA1">
        <w:rPr>
          <w:rFonts w:cstheme="minorBidi"/>
          <w:spacing w:val="-2"/>
          <w:position w:val="-10"/>
        </w:rPr>
        <w:object w:dxaOrig="260" w:dyaOrig="300">
          <v:shape id="_x0000_i1052" type="#_x0000_t75" style="width:12.75pt;height:15pt" o:ole="">
            <v:imagedata r:id="rId59" o:title=""/>
          </v:shape>
          <o:OLEObject Type="Embed" ProgID="Equation.DSMT4" ShapeID="_x0000_i1052" DrawAspect="Content" ObjectID="_1855311675" r:id="rId60"/>
        </w:object>
      </w:r>
      <w:r>
        <w:rPr>
          <w:rFonts w:cs="方正书宋_GBK" w:hint="eastAsia"/>
          <w:spacing w:val="-2"/>
        </w:rPr>
        <w:t>表</w:t>
      </w:r>
      <w:r>
        <w:rPr>
          <w:rFonts w:hAnsi="宋体" w:cs="方正书宋_GBK" w:hint="eastAsia"/>
          <w:spacing w:val="-2"/>
        </w:rPr>
        <w:t>示</w:t>
      </w:r>
      <w:r>
        <w:rPr>
          <w:rFonts w:hAnsi="___WRD_EMBED_SUB_45" w:cs="方正书宋_GBK" w:hint="eastAsia"/>
          <w:spacing w:val="-2"/>
        </w:rPr>
        <w:t>服务范围内需求单元</w:t>
      </w:r>
      <w:r w:rsidRPr="00C92DA1">
        <w:rPr>
          <w:rFonts w:cstheme="minorBidi"/>
          <w:spacing w:val="-2"/>
          <w:position w:val="-6"/>
        </w:rPr>
        <w:object w:dxaOrig="180" w:dyaOrig="260">
          <v:shape id="_x0000_i1053" type="#_x0000_t75" style="width:9pt;height:12.75pt" o:ole="">
            <v:imagedata r:id="rId61" o:title=""/>
          </v:shape>
          <o:OLEObject Type="Embed" ProgID="Equation.DSMT4" ShapeID="_x0000_i1053" DrawAspect="Content" ObjectID="_1855311676" r:id="rId62"/>
        </w:object>
      </w:r>
      <w:r>
        <w:rPr>
          <w:rFonts w:cs="方正书宋_GBK" w:hint="eastAsia"/>
          <w:spacing w:val="-2"/>
        </w:rPr>
        <w:t>的人</w:t>
      </w:r>
      <w:r>
        <w:rPr>
          <w:rFonts w:hAnsi="宋体" w:cs="方正书宋_GBK" w:hint="eastAsia"/>
          <w:spacing w:val="-2"/>
        </w:rPr>
        <w:t>口</w:t>
      </w:r>
      <w:r>
        <w:rPr>
          <w:rFonts w:hAnsi="___WRD_EMBED_SUB_45" w:cs="方正书宋_GBK" w:hint="eastAsia"/>
          <w:spacing w:val="-2"/>
        </w:rPr>
        <w:t>规模，</w:t>
      </w:r>
      <w:r w:rsidRPr="00C92DA1">
        <w:rPr>
          <w:rFonts w:ascii="方正书宋_GBK" w:hAnsi="___WRD_EMBED_SUB_45" w:cs="方正书宋_GBK" w:hint="eastAsia"/>
          <w:spacing w:val="-2"/>
          <w:position w:val="-14"/>
        </w:rPr>
        <w:object w:dxaOrig="300" w:dyaOrig="340">
          <v:shape id="_x0000_i1054" type="#_x0000_t75" style="width:15pt;height:16.5pt" o:ole="">
            <v:imagedata r:id="rId63" o:title=""/>
          </v:shape>
          <o:OLEObject Type="Embed" ProgID="Equation.DSMT4" ShapeID="_x0000_i1054" DrawAspect="Content" ObjectID="_1855311677" r:id="rId64"/>
        </w:object>
      </w:r>
      <w:r>
        <w:rPr>
          <w:rFonts w:cs="方正书宋_GBK" w:hint="eastAsia"/>
          <w:spacing w:val="-2"/>
        </w:rPr>
        <w:t>为需求单元与设施之间的</w:t>
      </w:r>
      <w:r>
        <w:rPr>
          <w:rFonts w:hAnsi="宋体" w:cs="方正书宋_GBK" w:hint="eastAsia"/>
          <w:spacing w:val="-2"/>
        </w:rPr>
        <w:t>欧氏</w:t>
      </w:r>
      <w:r>
        <w:rPr>
          <w:rFonts w:hAnsi="___WRD_EMBED_SUB_45" w:cs="方正书宋_GBK" w:hint="eastAsia"/>
          <w:spacing w:val="-2"/>
        </w:rPr>
        <w:t>距离，</w:t>
      </w:r>
      <w:r w:rsidRPr="00C92DA1">
        <w:rPr>
          <w:rFonts w:cstheme="minorBidi"/>
          <w:spacing w:val="-2"/>
          <w:position w:val="-14"/>
        </w:rPr>
        <w:object w:dxaOrig="260" w:dyaOrig="340">
          <v:shape id="_x0000_i1055" type="#_x0000_t75" style="width:12.75pt;height:16.5pt" o:ole="">
            <v:imagedata r:id="rId65" o:title=""/>
          </v:shape>
          <o:OLEObject Type="Embed" ProgID="Equation.DSMT4" ShapeID="_x0000_i1055" DrawAspect="Content" ObjectID="_1855311678" r:id="rId66"/>
        </w:object>
      </w:r>
      <w:r>
        <w:rPr>
          <w:rFonts w:cs="方正书宋_GBK" w:hint="eastAsia"/>
          <w:spacing w:val="-2"/>
        </w:rPr>
        <w:t>为设施服务半径，</w:t>
      </w:r>
      <w:r w:rsidRPr="00C92DA1">
        <w:rPr>
          <w:rFonts w:cstheme="minorBidi"/>
          <w:spacing w:val="-2"/>
          <w:position w:val="-14"/>
        </w:rPr>
        <w:object w:dxaOrig="279" w:dyaOrig="340">
          <v:shape id="_x0000_i1056" type="#_x0000_t75" style="width:12.75pt;height:16.5pt" o:ole="">
            <v:imagedata r:id="rId67" o:title=""/>
          </v:shape>
          <o:OLEObject Type="Embed" ProgID="Equation.DSMT4" ShapeID="_x0000_i1056" DrawAspect="Content" ObjectID="_1855311679" r:id="rId68"/>
        </w:object>
      </w:r>
      <w:r>
        <w:rPr>
          <w:rFonts w:cs="方正书宋_GBK" w:hint="eastAsia"/>
          <w:spacing w:val="-2"/>
        </w:rPr>
        <w:t>为距离衰减参</w:t>
      </w:r>
      <w:r>
        <w:rPr>
          <w:rFonts w:cs="方正书宋_GBK" w:hint="eastAsia"/>
        </w:rPr>
        <w:t>数。</w:t>
      </w:r>
    </w:p>
    <w:p w:rsidR="00B158E6" w:rsidRDefault="00B158E6">
      <w:pPr>
        <w:spacing w:line="281" w:lineRule="auto"/>
        <w:rPr>
          <w:rFonts w:cstheme="minorBidi"/>
        </w:rPr>
      </w:pPr>
      <w:r>
        <w:rPr>
          <w:rFonts w:cs="方正书宋_GBK" w:hint="eastAsia"/>
        </w:rPr>
        <w:t>该步骤通过对服务半径范围内的人口需求进行距离加权累积，衡量设施所承担的服务压力。随后，以需求点为中心计算综合可达性：</w:t>
      </w:r>
    </w:p>
    <w:p w:rsidR="00B158E6" w:rsidRDefault="00B158E6">
      <w:pPr>
        <w:tabs>
          <w:tab w:val="center" w:pos="3850"/>
          <w:tab w:val="right" w:pos="7937"/>
        </w:tabs>
        <w:spacing w:line="281" w:lineRule="auto"/>
        <w:ind w:firstLine="0"/>
      </w:pPr>
      <w:r>
        <w:rPr>
          <w:rFonts w:cstheme="minorBidi"/>
        </w:rPr>
        <w:tab/>
      </w:r>
      <w:r w:rsidRPr="00C92DA1">
        <w:rPr>
          <w:rFonts w:cstheme="minorBidi"/>
          <w:position w:val="-36"/>
        </w:rPr>
        <w:object w:dxaOrig="2420" w:dyaOrig="780">
          <v:shape id="_x0000_i1057" type="#_x0000_t75" style="width:118.5pt;height:36.75pt" o:ole="">
            <v:imagedata r:id="rId69" o:title=""/>
          </v:shape>
          <o:OLEObject Type="Embed" ProgID="Equation.DSMT4" ShapeID="_x0000_i1057" DrawAspect="Content" ObjectID="_1855311680" r:id="rId70"/>
        </w:object>
      </w:r>
      <w:r>
        <w:rPr>
          <w:rFonts w:cstheme="minorBidi"/>
        </w:rPr>
        <w:tab/>
      </w:r>
      <w:r>
        <w:t>(3)</w:t>
      </w:r>
    </w:p>
    <w:p w:rsidR="00B158E6" w:rsidRDefault="00B158E6">
      <w:pPr>
        <w:spacing w:line="281" w:lineRule="auto"/>
        <w:ind w:firstLine="0"/>
        <w:rPr>
          <w:rFonts w:cstheme="minorBidi"/>
        </w:rPr>
      </w:pPr>
      <w:r>
        <w:rPr>
          <w:rFonts w:cs="方正书宋_GBK" w:hint="eastAsia"/>
        </w:rPr>
        <w:t>式</w:t>
      </w:r>
      <w:r>
        <w:rPr>
          <w:rFonts w:cs="方正书宋_GBK" w:hint="eastAsia"/>
          <w:spacing w:val="-2"/>
        </w:rPr>
        <w:t>中，</w:t>
      </w:r>
      <w:r w:rsidRPr="00C92DA1">
        <w:rPr>
          <w:rFonts w:cstheme="minorBidi"/>
          <w:spacing w:val="-2"/>
          <w:position w:val="-10"/>
        </w:rPr>
        <w:object w:dxaOrig="240" w:dyaOrig="300">
          <v:shape id="_x0000_i1058" type="#_x0000_t75" style="width:12pt;height:15pt" o:ole="">
            <v:imagedata r:id="rId71" o:title=""/>
          </v:shape>
          <o:OLEObject Type="Embed" ProgID="Equation.DSMT4" ShapeID="_x0000_i1058" DrawAspect="Content" ObjectID="_1855311681" r:id="rId72"/>
        </w:object>
      </w:r>
      <w:r>
        <w:rPr>
          <w:rFonts w:cs="方正书宋_GBK" w:hint="eastAsia"/>
        </w:rPr>
        <w:t>表示需求点</w:t>
      </w:r>
      <w:bookmarkStart w:id="7" w:name="MTBlankEqn"/>
      <w:r w:rsidRPr="00C92DA1">
        <w:rPr>
          <w:rFonts w:cstheme="minorBidi"/>
          <w:position w:val="-6"/>
        </w:rPr>
        <w:object w:dxaOrig="139" w:dyaOrig="240">
          <v:shape id="_x0000_i1059" type="#_x0000_t75" style="width:6.75pt;height:12pt" o:ole="">
            <v:imagedata r:id="rId73" o:title=""/>
          </v:shape>
          <o:OLEObject Type="Embed" ProgID="Equation.DSMT4" ShapeID="_x0000_i1059" DrawAspect="Content" ObjectID="_1855311682" r:id="rId74"/>
        </w:object>
      </w:r>
      <w:bookmarkEnd w:id="7"/>
      <w:r>
        <w:rPr>
          <w:rFonts w:cs="方正书宋_GBK" w:hint="eastAsia"/>
        </w:rPr>
        <w:t>的可达性水平，反映其在综合考虑设施供给能力和空间距离影响后的服务获取程度。计算过程中采用高斯衰减函数对距离进行连续加权，使设施影响力随距</w:t>
      </w:r>
      <w:r>
        <w:rPr>
          <w:rFonts w:cs="方正书宋_GBK" w:hint="eastAsia"/>
        </w:rPr>
        <w:lastRenderedPageBreak/>
        <w:t>离增加逐渐减弱，从而避免传统固定阈值方法产生的边界突变问题。</w:t>
      </w:r>
    </w:p>
    <w:p w:rsidR="00B158E6" w:rsidRDefault="00B158E6">
      <w:pPr>
        <w:spacing w:line="276" w:lineRule="auto"/>
        <w:rPr>
          <w:rFonts w:ascii="宋体" w:eastAsia="宋体" w:cstheme="minorBidi"/>
        </w:rPr>
      </w:pPr>
      <w:r>
        <w:rPr>
          <w:rFonts w:cs="方正书宋_GBK" w:hint="eastAsia"/>
          <w:spacing w:val="2"/>
        </w:rPr>
        <w:t>在此基础上，对医疗、教育、交通、商业购物、休闲娱乐和生活服务六类设施分别进行独立测算，并将结果统一映射至同一需求单元。由于各类设施采用一致的层级参数体系和计算框架，因此所得可达性结果具有直接可比性，能够从统一尺度揭示不同公共服务系</w:t>
      </w:r>
      <w:r>
        <w:rPr>
          <w:rFonts w:cs="方正书宋_GBK" w:hint="eastAsia"/>
        </w:rPr>
        <w:t>统的空间分布特征与供给差异，为后续公共服务均衡性评价与空间优化分析提供基础支撑</w:t>
      </w:r>
      <w:r>
        <w:rPr>
          <w:vertAlign w:val="superscript"/>
        </w:rPr>
        <w:t>[25–27]</w:t>
      </w:r>
      <w:r>
        <w:rPr>
          <w:rFonts w:cs="方正书宋_GBK" w:hint="eastAsia"/>
        </w:rPr>
        <w:t>。</w:t>
      </w:r>
    </w:p>
    <w:p w:rsidR="00B158E6" w:rsidRDefault="00B158E6">
      <w:pPr>
        <w:pStyle w:val="3"/>
        <w:rPr>
          <w:rFonts w:cstheme="minorBidi"/>
          <w:b w:val="0"/>
          <w:bCs w:val="0"/>
        </w:rPr>
      </w:pPr>
      <w:r>
        <w:t xml:space="preserve">3  </w:t>
      </w:r>
      <w:r>
        <w:rPr>
          <w:rFonts w:cs="方正书宋_GBK" w:hint="eastAsia"/>
        </w:rPr>
        <w:t>数据结果分析</w:t>
      </w:r>
    </w:p>
    <w:p w:rsidR="00B158E6" w:rsidRDefault="00B158E6">
      <w:pPr>
        <w:pStyle w:val="40"/>
        <w:rPr>
          <w:rFonts w:cstheme="minorBidi"/>
        </w:rPr>
      </w:pPr>
      <w:r>
        <w:rPr>
          <w:b/>
          <w:bCs/>
        </w:rPr>
        <w:t>3.1</w:t>
      </w:r>
      <w:r>
        <w:t xml:space="preserve">  </w:t>
      </w:r>
      <w:r>
        <w:rPr>
          <w:rFonts w:cs="黑体" w:hint="eastAsia"/>
        </w:rPr>
        <w:t>北京市公共服务设施覆盖的空间分布</w:t>
      </w:r>
    </w:p>
    <w:p w:rsidR="00B158E6" w:rsidRDefault="00B158E6">
      <w:pPr>
        <w:spacing w:line="276" w:lineRule="auto"/>
        <w:rPr>
          <w:rFonts w:cstheme="minorBidi"/>
        </w:rPr>
      </w:pPr>
      <w:r>
        <w:rPr>
          <w:rFonts w:cs="方正书宋_GBK" w:hint="eastAsia"/>
        </w:rPr>
        <w:t>本研究以北京市建成区为研究区域（图</w:t>
      </w:r>
      <w:r>
        <w:t>2</w:t>
      </w:r>
      <w:r>
        <w:rPr>
          <w:rFonts w:cs="方正书宋_GBK" w:hint="eastAsia"/>
        </w:rPr>
        <w:t>）。北京市作为中国的首都和典型超大城市，人口规模庞大，经济发展水平高，是我国城市化水平最高、功能结构最为复杂的城市之一。在长期城市扩展过程中，北京逐步形成了以中心城区为核心、向外围梯度扩展的空间结构，不同区域在人口分布、土地利用及公共服务设施配置等方面呈现出显著差异。北京市建成区作为人口活动高度集聚与公共服务需求最为集中的核心空间单元，不仅承载着多样化的城市功能，也是各类公共服务设施布局最为密集的区域。随着城市化进程的持续推进以及人口结构与生活方式的转变，北京市公共服务需求逐渐呈现出多样化、分层化与动态演化特征。然而，与需求快速变化相比，公共服务设施供给在空间上的响应仍存在一定滞后，整体上表现为中心城区资源高度集聚，而外围区域在设施数量、服务能力及可达性方面仍存在不同程度的供给不足，反映出明显的空间不均衡特征。</w:t>
      </w:r>
    </w:p>
    <w:p w:rsidR="00B158E6" w:rsidRDefault="00B158E6">
      <w:pPr>
        <w:spacing w:line="269" w:lineRule="auto"/>
        <w:rPr>
          <w:rFonts w:cstheme="minorBidi"/>
          <w:sz w:val="16"/>
          <w:szCs w:val="16"/>
        </w:rPr>
      </w:pPr>
    </w:p>
    <w:p w:rsidR="00B158E6" w:rsidRDefault="009A1B3A">
      <w:pPr>
        <w:ind w:firstLine="0"/>
        <w:jc w:val="center"/>
        <w:rPr>
          <w:rFonts w:cstheme="minorBidi"/>
        </w:rPr>
      </w:pPr>
      <w:r w:rsidRPr="00C92DA1">
        <w:rPr>
          <w:rFonts w:cstheme="minorBidi"/>
          <w:noProof/>
        </w:rPr>
        <w:pict>
          <v:shape id="_x0000_i1060" type="#_x0000_t75" style="width:383.25pt;height:248.25pt">
            <v:imagedata r:id="rId75" o:title=""/>
          </v:shape>
        </w:pict>
      </w:r>
    </w:p>
    <w:p w:rsidR="00B158E6" w:rsidRDefault="00B158E6">
      <w:pPr>
        <w:ind w:firstLine="0"/>
        <w:rPr>
          <w:rFonts w:cstheme="minorBidi"/>
          <w:sz w:val="10"/>
          <w:szCs w:val="10"/>
        </w:rPr>
      </w:pPr>
    </w:p>
    <w:p w:rsidR="00B158E6" w:rsidRDefault="00B158E6">
      <w:pPr>
        <w:spacing w:line="276" w:lineRule="auto"/>
        <w:ind w:firstLine="0"/>
        <w:jc w:val="center"/>
        <w:rPr>
          <w:rFonts w:cstheme="minorBidi"/>
          <w:sz w:val="18"/>
          <w:szCs w:val="18"/>
        </w:rPr>
      </w:pPr>
      <w:r>
        <w:rPr>
          <w:rFonts w:cs="方正书宋_GBK" w:hint="eastAsia"/>
          <w:sz w:val="18"/>
          <w:szCs w:val="18"/>
        </w:rPr>
        <w:t>图</w:t>
      </w:r>
      <w:r>
        <w:rPr>
          <w:sz w:val="18"/>
          <w:szCs w:val="18"/>
        </w:rPr>
        <w:t xml:space="preserve">2  </w:t>
      </w:r>
      <w:r>
        <w:rPr>
          <w:rFonts w:cs="方正书宋_GBK" w:hint="eastAsia"/>
          <w:sz w:val="18"/>
          <w:szCs w:val="18"/>
        </w:rPr>
        <w:t>北京的行政边界和建成区分布图</w:t>
      </w:r>
    </w:p>
    <w:p w:rsidR="00B158E6" w:rsidRDefault="00B158E6">
      <w:pPr>
        <w:spacing w:line="276" w:lineRule="auto"/>
        <w:rPr>
          <w:rFonts w:cstheme="minorBidi"/>
        </w:rPr>
      </w:pPr>
      <w:r>
        <w:rPr>
          <w:rFonts w:cs="方正书宋_GBK" w:hint="eastAsia"/>
        </w:rPr>
        <w:lastRenderedPageBreak/>
        <w:t>从空间结构来看，北京市内部存在明显的功能分区特征，包括以东城区、西城区为代表的核心功能区，以朝阳区、海淀区为代表的高密度发展区，以及昌平、顺义等快速发展区域。不同区域在经济发展水平、人口密度及交通可达性方面差异显著，使得公共服务设施的供需关系呈现出复杂的空间异质性特征。</w:t>
      </w:r>
    </w:p>
    <w:p w:rsidR="00B158E6" w:rsidRDefault="00B158E6">
      <w:pPr>
        <w:rPr>
          <w:rFonts w:cstheme="minorBidi"/>
        </w:rPr>
      </w:pPr>
      <w:r>
        <w:rPr>
          <w:rFonts w:cs="方正书宋_GBK" w:hint="eastAsia"/>
        </w:rPr>
        <w:t>因此，选取北京市建成区作为研究对象，能够在典型超大城市背景下揭示公共服务设施供需关系与空间异质性的内在机制，为后续基于多源数据的空间分析与设施优化提供具有代表性的研究基础。</w:t>
      </w:r>
    </w:p>
    <w:p w:rsidR="00B158E6" w:rsidRDefault="00B158E6">
      <w:pPr>
        <w:rPr>
          <w:rFonts w:cstheme="minorBidi"/>
        </w:rPr>
      </w:pPr>
      <w:r>
        <w:rPr>
          <w:rFonts w:cs="方正书宋_GBK" w:hint="eastAsia"/>
        </w:rPr>
        <w:t>图</w:t>
      </w:r>
      <w:r>
        <w:t>3</w:t>
      </w:r>
      <w:r>
        <w:rPr>
          <w:rFonts w:cs="方正书宋_GBK" w:hint="eastAsia"/>
        </w:rPr>
        <w:t>展示了北京市公共服务设施覆盖得分在地块尺度上的空间分布。从图中可以看出，不同覆盖得分等级（</w:t>
      </w:r>
      <w:r>
        <w:t>1–7</w:t>
      </w:r>
      <w:r>
        <w:rPr>
          <w:rFonts w:cs="方正书宋_GBK" w:hint="eastAsia"/>
        </w:rPr>
        <w:t>）的空间分布与北京市城市结构高度一致，整体呈现出显著的</w:t>
      </w:r>
      <w:r>
        <w:rPr>
          <w:rFonts w:ascii="方正书宋_GBK" w:cs="方正书宋_GBK" w:hint="eastAsia"/>
        </w:rPr>
        <w:t>“</w:t>
      </w:r>
      <w:r>
        <w:rPr>
          <w:rFonts w:cs="方正书宋_GBK" w:hint="eastAsia"/>
        </w:rPr>
        <w:t>中心集聚</w:t>
      </w:r>
      <w:r>
        <w:t>-</w:t>
      </w:r>
      <w:r>
        <w:rPr>
          <w:rFonts w:cs="方正书宋_GBK" w:hint="eastAsia"/>
        </w:rPr>
        <w:t>外围递减</w:t>
      </w:r>
      <w:r>
        <w:rPr>
          <w:rFonts w:ascii="方正书宋_GBK" w:cs="方正书宋_GBK" w:hint="eastAsia"/>
        </w:rPr>
        <w:t>”</w:t>
      </w:r>
      <w:r>
        <w:rPr>
          <w:rFonts w:cs="方正书宋_GBK" w:hint="eastAsia"/>
        </w:rPr>
        <w:t>特征。高值区域（</w:t>
      </w:r>
      <w:r>
        <w:t>6–7</w:t>
      </w:r>
      <w:r>
        <w:rPr>
          <w:rFonts w:cs="方正书宋_GBK" w:hint="eastAsia"/>
        </w:rPr>
        <w:t>级）主要集中于城市核心区域，包括东城区、西城区及朝阳区中部、海淀区南部等地，这些区域人口密度高、功能集聚程度强，公共服务设施覆盖水平较高。</w:t>
      </w:r>
    </w:p>
    <w:p w:rsidR="00B158E6" w:rsidRDefault="00B158E6">
      <w:pPr>
        <w:rPr>
          <w:rFonts w:cstheme="minorBidi"/>
        </w:rPr>
      </w:pPr>
      <w:r>
        <w:rPr>
          <w:rFonts w:cs="方正书宋_GBK" w:hint="eastAsia"/>
        </w:rPr>
        <w:t>从核心城区向外围区域扩展，覆盖得分等级逐渐降低。在近郊区域，如丰台区、石景山区及昌平区南部，地块多表现为中等等级（</w:t>
      </w:r>
      <w:r>
        <w:t>3–5</w:t>
      </w:r>
      <w:r>
        <w:rPr>
          <w:rFonts w:cs="方正书宋_GBK" w:hint="eastAsia"/>
        </w:rPr>
        <w:t>级）；而在远郊区域，如顺义区、通州区、大兴区及房山区，覆盖得分进一步降低，多为低等级（</w:t>
      </w:r>
      <w:r>
        <w:t>1–3</w:t>
      </w:r>
      <w:r>
        <w:rPr>
          <w:rFonts w:cs="方正书宋_GBK" w:hint="eastAsia"/>
        </w:rPr>
        <w:t>级）。此外，在延庆区和门头沟区等山区，整体呈现低值集聚特征，公共服务设施覆盖水平较低。</w:t>
      </w:r>
    </w:p>
    <w:p w:rsidR="00B158E6" w:rsidRDefault="00B158E6">
      <w:pPr>
        <w:jc w:val="distribute"/>
        <w:rPr>
          <w:rFonts w:cstheme="minorBidi"/>
        </w:rPr>
      </w:pPr>
      <w:r>
        <w:rPr>
          <w:rFonts w:cs="方正书宋_GBK" w:hint="eastAsia"/>
        </w:rPr>
        <w:t>总体来看，北京市公共服务设施覆盖呈现出明显的空间梯度结构，高值区集中于核心城区，低值区分布于城市外围及生态区域，反映出设施配置与人口分布及城市功能结构之</w:t>
      </w:r>
    </w:p>
    <w:p w:rsidR="00B158E6" w:rsidRDefault="00B158E6" w:rsidP="009A1B3A"/>
    <w:p w:rsidR="00B158E6" w:rsidRDefault="009A1B3A">
      <w:pPr>
        <w:ind w:firstLine="0"/>
        <w:jc w:val="center"/>
        <w:rPr>
          <w:rFonts w:cstheme="minorBidi"/>
          <w:b/>
          <w:bCs/>
          <w:sz w:val="18"/>
          <w:szCs w:val="18"/>
        </w:rPr>
      </w:pPr>
      <w:r w:rsidRPr="00C92DA1">
        <w:rPr>
          <w:rFonts w:cstheme="minorBidi"/>
          <w:b/>
          <w:bCs/>
          <w:noProof/>
          <w:sz w:val="18"/>
          <w:szCs w:val="18"/>
        </w:rPr>
        <w:pict>
          <v:shape id="图片 36" o:spid="_x0000_i1061" type="#_x0000_t75" alt="田浩正中文图3" style="width:365.25pt;height:275.25pt;visibility:visible">
            <v:imagedata r:id="rId76" o:title=""/>
          </v:shape>
        </w:pict>
      </w:r>
    </w:p>
    <w:p w:rsidR="00B158E6" w:rsidRDefault="00B158E6">
      <w:pPr>
        <w:ind w:firstLine="0"/>
        <w:jc w:val="center"/>
        <w:rPr>
          <w:rFonts w:cstheme="minorBidi"/>
          <w:b/>
          <w:bCs/>
          <w:sz w:val="10"/>
          <w:szCs w:val="10"/>
        </w:rPr>
      </w:pPr>
    </w:p>
    <w:p w:rsidR="00B158E6" w:rsidRDefault="00B158E6">
      <w:pPr>
        <w:ind w:firstLine="0"/>
        <w:jc w:val="center"/>
        <w:rPr>
          <w:rFonts w:cstheme="minorBidi"/>
          <w:sz w:val="18"/>
          <w:szCs w:val="18"/>
        </w:rPr>
      </w:pPr>
      <w:r>
        <w:rPr>
          <w:rFonts w:cs="方正书宋_GBK" w:hint="eastAsia"/>
          <w:sz w:val="18"/>
          <w:szCs w:val="18"/>
        </w:rPr>
        <w:t>图</w:t>
      </w:r>
      <w:r>
        <w:rPr>
          <w:sz w:val="18"/>
          <w:szCs w:val="18"/>
        </w:rPr>
        <w:t xml:space="preserve">3  </w:t>
      </w:r>
      <w:r>
        <w:rPr>
          <w:rFonts w:cs="方正书宋_GBK" w:hint="eastAsia"/>
          <w:sz w:val="18"/>
          <w:szCs w:val="18"/>
        </w:rPr>
        <w:t>北京市公共服务设施综合覆盖得分图（</w:t>
      </w:r>
      <w:r>
        <w:rPr>
          <w:sz w:val="18"/>
          <w:szCs w:val="18"/>
        </w:rPr>
        <w:t>2026</w:t>
      </w:r>
      <w:r>
        <w:rPr>
          <w:rFonts w:cs="方正书宋_GBK" w:hint="eastAsia"/>
          <w:sz w:val="18"/>
          <w:szCs w:val="18"/>
        </w:rPr>
        <w:t>）</w:t>
      </w:r>
    </w:p>
    <w:p w:rsidR="00B158E6" w:rsidRDefault="00B158E6">
      <w:pPr>
        <w:ind w:firstLine="0"/>
        <w:rPr>
          <w:rFonts w:ascii="方正书宋_GBK" w:cstheme="minorBidi"/>
        </w:rPr>
      </w:pPr>
      <w:r>
        <w:rPr>
          <w:rFonts w:cs="方正书宋_GBK" w:hint="eastAsia"/>
        </w:rPr>
        <w:lastRenderedPageBreak/>
        <w:t>间的显著空间耦合关系。</w:t>
      </w:r>
    </w:p>
    <w:p w:rsidR="00B158E6" w:rsidRDefault="00B158E6">
      <w:pPr>
        <w:rPr>
          <w:rFonts w:cstheme="minorBidi"/>
        </w:rPr>
      </w:pPr>
      <w:r>
        <w:rPr>
          <w:rFonts w:cs="方正书宋_GBK" w:hint="eastAsia"/>
        </w:rPr>
        <w:t>图</w:t>
      </w:r>
      <w:r>
        <w:t>4</w:t>
      </w:r>
      <w:r>
        <w:rPr>
          <w:rFonts w:cs="方正书宋_GBK" w:hint="eastAsia"/>
        </w:rPr>
        <w:t>展示了北京市六类公共服务设施的核密度空间分布特征。总体来看，不同类型设施的空间分布均呈现出显著的</w:t>
      </w:r>
      <w:r>
        <w:rPr>
          <w:rFonts w:ascii="方正书宋_GBK" w:cs="方正书宋_GBK" w:hint="eastAsia"/>
        </w:rPr>
        <w:t>“</w:t>
      </w:r>
      <w:r>
        <w:rPr>
          <w:rFonts w:cs="方正书宋_GBK" w:hint="eastAsia"/>
        </w:rPr>
        <w:t>中心集聚</w:t>
      </w:r>
      <w:r>
        <w:t>-</w:t>
      </w:r>
      <w:r>
        <w:rPr>
          <w:rFonts w:cs="方正书宋_GBK" w:hint="eastAsia"/>
        </w:rPr>
        <w:t>外围递减</w:t>
      </w:r>
      <w:r>
        <w:rPr>
          <w:rFonts w:ascii="方正书宋_GBK" w:cs="方正书宋_GBK" w:hint="eastAsia"/>
        </w:rPr>
        <w:t>”</w:t>
      </w:r>
      <w:r>
        <w:rPr>
          <w:rFonts w:cs="方正书宋_GBK" w:hint="eastAsia"/>
        </w:rPr>
        <w:t>格局，但在集聚强度与扩散范围上存在明显差异。</w:t>
      </w:r>
    </w:p>
    <w:p w:rsidR="00B158E6" w:rsidRDefault="00B158E6">
      <w:pPr>
        <w:ind w:firstLine="0"/>
        <w:jc w:val="center"/>
        <w:rPr>
          <w:rFonts w:cstheme="minorBidi"/>
          <w:sz w:val="18"/>
          <w:szCs w:val="18"/>
        </w:rPr>
      </w:pPr>
    </w:p>
    <w:p w:rsidR="00B158E6" w:rsidRDefault="009A1B3A">
      <w:pPr>
        <w:ind w:firstLine="0"/>
        <w:jc w:val="center"/>
        <w:rPr>
          <w:rFonts w:cstheme="minorBidi"/>
          <w:sz w:val="18"/>
          <w:szCs w:val="18"/>
        </w:rPr>
      </w:pPr>
      <w:r w:rsidRPr="00C92DA1">
        <w:rPr>
          <w:rFonts w:cstheme="minorBidi"/>
          <w:noProof/>
          <w:sz w:val="18"/>
          <w:szCs w:val="18"/>
        </w:rPr>
        <w:pict>
          <v:shape id="图片 37" o:spid="_x0000_i1062" type="#_x0000_t75" alt="田浩正中文图4" style="width:398.25pt;height:248.25pt;visibility:visible">
            <v:imagedata r:id="rId77" o:title=""/>
          </v:shape>
        </w:pict>
      </w:r>
    </w:p>
    <w:p w:rsidR="00B158E6" w:rsidRDefault="00B158E6">
      <w:pPr>
        <w:ind w:firstLine="0"/>
        <w:jc w:val="center"/>
        <w:rPr>
          <w:rFonts w:cstheme="minorBidi"/>
          <w:sz w:val="10"/>
          <w:szCs w:val="10"/>
        </w:rPr>
      </w:pPr>
    </w:p>
    <w:p w:rsidR="00B158E6" w:rsidRDefault="00B158E6">
      <w:pPr>
        <w:ind w:firstLine="0"/>
        <w:jc w:val="center"/>
        <w:rPr>
          <w:rFonts w:ascii="方正书宋_GBK" w:cstheme="minorBidi"/>
          <w:sz w:val="18"/>
          <w:szCs w:val="18"/>
        </w:rPr>
      </w:pPr>
      <w:r>
        <w:rPr>
          <w:rFonts w:cs="方正书宋_GBK" w:hint="eastAsia"/>
          <w:sz w:val="18"/>
          <w:szCs w:val="18"/>
        </w:rPr>
        <w:t>图</w:t>
      </w:r>
      <w:r>
        <w:rPr>
          <w:sz w:val="18"/>
          <w:szCs w:val="18"/>
        </w:rPr>
        <w:t xml:space="preserve">4  </w:t>
      </w:r>
      <w:r>
        <w:rPr>
          <w:rFonts w:cs="方正书宋_GBK" w:hint="eastAsia"/>
          <w:sz w:val="18"/>
          <w:szCs w:val="18"/>
        </w:rPr>
        <w:t>北京市六种</w:t>
      </w:r>
      <w:r>
        <w:rPr>
          <w:sz w:val="18"/>
          <w:szCs w:val="18"/>
        </w:rPr>
        <w:t>POI</w:t>
      </w:r>
      <w:r>
        <w:rPr>
          <w:rFonts w:cs="方正书宋_GBK" w:hint="eastAsia"/>
          <w:sz w:val="18"/>
          <w:szCs w:val="18"/>
        </w:rPr>
        <w:t>的核密度指数分布图（</w:t>
      </w:r>
      <w:r>
        <w:rPr>
          <w:sz w:val="18"/>
          <w:szCs w:val="18"/>
        </w:rPr>
        <w:t>2026</w:t>
      </w:r>
      <w:r>
        <w:rPr>
          <w:rFonts w:cs="方正书宋_GBK" w:hint="eastAsia"/>
          <w:sz w:val="18"/>
          <w:szCs w:val="18"/>
        </w:rPr>
        <w:t>）</w:t>
      </w:r>
    </w:p>
    <w:p w:rsidR="00B158E6" w:rsidRDefault="00B158E6">
      <w:pPr>
        <w:ind w:firstLine="0"/>
        <w:jc w:val="center"/>
        <w:rPr>
          <w:rFonts w:cstheme="minorBidi"/>
          <w:sz w:val="18"/>
          <w:szCs w:val="18"/>
        </w:rPr>
      </w:pPr>
    </w:p>
    <w:p w:rsidR="00B158E6" w:rsidRDefault="00B158E6">
      <w:pPr>
        <w:spacing w:line="286" w:lineRule="auto"/>
        <w:rPr>
          <w:rFonts w:cstheme="minorBidi"/>
        </w:rPr>
      </w:pPr>
      <w:r>
        <w:rPr>
          <w:rFonts w:cs="方正书宋_GBK" w:hint="eastAsia"/>
        </w:rPr>
        <w:t>从教育设施分布来看，其高密度区域主要集中于中心城区，尤其在东城区、西城区及海淀区南部形成明显集聚，向外围呈快速衰减趋势，表明优质教育资源高度依附于核心城区。休闲娱乐设施的分布范围相对更广，在中心城区形成高值区的同时，在部分近郊区域亦出现零散次级热点，反映出其服务对象具有一定的空间扩散性。</w:t>
      </w:r>
    </w:p>
    <w:p w:rsidR="00B158E6" w:rsidRDefault="00B158E6">
      <w:pPr>
        <w:spacing w:line="286" w:lineRule="auto"/>
        <w:rPr>
          <w:rFonts w:cstheme="minorBidi"/>
        </w:rPr>
      </w:pPr>
      <w:r>
        <w:rPr>
          <w:rFonts w:cs="方正书宋_GBK" w:hint="eastAsia"/>
          <w:spacing w:val="2"/>
        </w:rPr>
        <w:t>医疗设施整体呈现出</w:t>
      </w:r>
      <w:r>
        <w:rPr>
          <w:rFonts w:ascii="方正书宋_GBK" w:hAnsi="黑体" w:cs="方正书宋_GBK" w:hint="eastAsia"/>
          <w:spacing w:val="2"/>
        </w:rPr>
        <w:t>“</w:t>
      </w:r>
      <w:r>
        <w:rPr>
          <w:rFonts w:cs="方正书宋_GBK" w:hint="eastAsia"/>
          <w:spacing w:val="2"/>
        </w:rPr>
        <w:t>多核心</w:t>
      </w:r>
      <w:r>
        <w:rPr>
          <w:spacing w:val="2"/>
        </w:rPr>
        <w:t>+</w:t>
      </w:r>
      <w:r>
        <w:rPr>
          <w:rFonts w:cs="方正书宋_GBK" w:hint="eastAsia"/>
          <w:spacing w:val="2"/>
        </w:rPr>
        <w:t>中心强化</w:t>
      </w:r>
      <w:r>
        <w:rPr>
          <w:rFonts w:ascii="方正书宋_GBK" w:hAnsi="黑体" w:cs="方正书宋_GBK" w:hint="eastAsia"/>
          <w:spacing w:val="2"/>
        </w:rPr>
        <w:t>”</w:t>
      </w:r>
      <w:r>
        <w:rPr>
          <w:rFonts w:cs="方正书宋_GBK" w:hint="eastAsia"/>
          <w:spacing w:val="2"/>
        </w:rPr>
        <w:t>的分布特征，除中心城区高密度集聚外，在通州、昌平等区域亦存在局部高值点，说明医疗资源在空间上具备一定的均衡布局趋势，但总体仍以核心城区为主导。商业购物设施的核密度最高且集聚范围最大，在中心城区形成显著高值核心，并沿主要城市发展轴向外扩展，体现出商业活动对人口与交通的高度</w:t>
      </w:r>
      <w:r>
        <w:rPr>
          <w:rFonts w:cs="方正书宋_GBK" w:hint="eastAsia"/>
        </w:rPr>
        <w:t>依赖。</w:t>
      </w:r>
    </w:p>
    <w:p w:rsidR="00B158E6" w:rsidRDefault="00B158E6">
      <w:pPr>
        <w:spacing w:line="286" w:lineRule="auto"/>
        <w:rPr>
          <w:rFonts w:cstheme="minorBidi"/>
        </w:rPr>
      </w:pPr>
      <w:r>
        <w:rPr>
          <w:rFonts w:cs="方正书宋_GBK" w:hint="eastAsia"/>
        </w:rPr>
        <w:t>生活服务设施分布与商业设施相似，但集聚强度略低，呈现出以中心城区为核心、向近郊逐步扩散的空间格局。交通设施则表现出较强的网络化分布特征，在中心城区形成高密度节点的同时，沿主要交通廊道向外围延伸，空间连续性较强，反映出交通基础设施对城市空间结构的支撑作用。</w:t>
      </w:r>
    </w:p>
    <w:p w:rsidR="00B158E6" w:rsidRDefault="00B158E6">
      <w:pPr>
        <w:spacing w:line="286" w:lineRule="auto"/>
        <w:rPr>
          <w:rFonts w:cstheme="minorBidi"/>
        </w:rPr>
      </w:pPr>
      <w:r>
        <w:rPr>
          <w:rFonts w:cs="方正书宋_GBK" w:hint="eastAsia"/>
        </w:rPr>
        <w:t>总体而言，北京市六类公共服务设施</w:t>
      </w:r>
      <w:r>
        <w:t>POI</w:t>
      </w:r>
      <w:r>
        <w:rPr>
          <w:rFonts w:cs="方正书宋_GBK" w:hint="eastAsia"/>
        </w:rPr>
        <w:t>在空间上均呈现出明显的集聚特征，但不同</w:t>
      </w:r>
      <w:r>
        <w:rPr>
          <w:rFonts w:cs="方正书宋_GBK" w:hint="eastAsia"/>
        </w:rPr>
        <w:lastRenderedPageBreak/>
        <w:t>设施在集聚程度、扩散范围及空间均衡性方面存在差异：商业购物与生活服务设施集聚最为显著，教育设施与医疗设施次之，而休闲娱乐设施与交通设施相对更具空间扩展性。这一差异反映出不同类型公共服务设施在功能属性、服务对象及选址机制上的差异，同时也揭示了北京市公共服务设施配置的空间异质性特征。</w:t>
      </w:r>
    </w:p>
    <w:p w:rsidR="00B158E6" w:rsidRDefault="00B158E6">
      <w:pPr>
        <w:spacing w:line="286" w:lineRule="auto"/>
        <w:rPr>
          <w:rFonts w:cstheme="minorBidi"/>
        </w:rPr>
      </w:pPr>
      <w:r>
        <w:rPr>
          <w:rFonts w:cs="方正书宋_GBK" w:hint="eastAsia"/>
        </w:rPr>
        <w:t>在此基础上，各类</w:t>
      </w:r>
      <w:r>
        <w:t>POI</w:t>
      </w:r>
      <w:r>
        <w:rPr>
          <w:rFonts w:cs="方正书宋_GBK" w:hint="eastAsia"/>
        </w:rPr>
        <w:t>根据其中类语义映射至对应层级，并继承相应参数，从而完成</w:t>
      </w:r>
      <w:r>
        <w:rPr>
          <w:rFonts w:ascii="方正书宋_GBK" w:cs="方正书宋_GBK" w:hint="eastAsia"/>
        </w:rPr>
        <w:t>“</w:t>
      </w:r>
      <w:r>
        <w:rPr>
          <w:rFonts w:cs="方正书宋_GBK" w:hint="eastAsia"/>
        </w:rPr>
        <w:t>语义分类</w:t>
      </w:r>
      <w:r>
        <w:t>-</w:t>
      </w:r>
      <w:r>
        <w:rPr>
          <w:rFonts w:cs="方正书宋_GBK" w:hint="eastAsia"/>
        </w:rPr>
        <w:t>层级映射</w:t>
      </w:r>
      <w:r>
        <w:t>-</w:t>
      </w:r>
      <w:r>
        <w:rPr>
          <w:rFonts w:cs="方正书宋_GBK" w:hint="eastAsia"/>
        </w:rPr>
        <w:t>参数赋值</w:t>
      </w:r>
      <w:r>
        <w:rPr>
          <w:rFonts w:ascii="方正书宋_GBK" w:cs="方正书宋_GBK" w:hint="eastAsia"/>
        </w:rPr>
        <w:t>”</w:t>
      </w:r>
      <w:r>
        <w:rPr>
          <w:rFonts w:cs="方正书宋_GBK" w:hint="eastAsia"/>
        </w:rPr>
        <w:t>的转换过程。统一的层级参数体系如表</w:t>
      </w:r>
      <w:r>
        <w:t>2</w:t>
      </w:r>
      <w:r>
        <w:rPr>
          <w:rFonts w:cs="方正书宋_GBK" w:hint="eastAsia"/>
        </w:rPr>
        <w:t>，图</w:t>
      </w:r>
      <w:r>
        <w:t>5</w:t>
      </w:r>
      <w:r>
        <w:rPr>
          <w:rFonts w:cs="方正书宋_GBK" w:hint="eastAsia"/>
        </w:rPr>
        <w:t>所示。</w:t>
      </w:r>
    </w:p>
    <w:p w:rsidR="00B158E6" w:rsidRDefault="00B158E6">
      <w:pPr>
        <w:rPr>
          <w:rFonts w:cstheme="minorBidi"/>
          <w:sz w:val="24"/>
          <w:szCs w:val="24"/>
        </w:rPr>
      </w:pPr>
    </w:p>
    <w:p w:rsidR="00B158E6" w:rsidRDefault="00B158E6">
      <w:pPr>
        <w:spacing w:after="40"/>
        <w:ind w:firstLine="0"/>
        <w:jc w:val="center"/>
        <w:rPr>
          <w:rFonts w:eastAsia="黑体" w:cstheme="minorBidi"/>
          <w:sz w:val="18"/>
          <w:szCs w:val="18"/>
        </w:rPr>
      </w:pPr>
      <w:r>
        <w:rPr>
          <w:rFonts w:eastAsia="黑体" w:hAnsi="黑体" w:cs="黑体" w:hint="eastAsia"/>
          <w:sz w:val="18"/>
          <w:szCs w:val="18"/>
        </w:rPr>
        <w:t>表</w:t>
      </w:r>
      <w:r>
        <w:rPr>
          <w:rFonts w:eastAsia="黑体"/>
          <w:b/>
          <w:bCs/>
          <w:sz w:val="18"/>
          <w:szCs w:val="18"/>
        </w:rPr>
        <w:t>2</w:t>
      </w:r>
      <w:r>
        <w:rPr>
          <w:rFonts w:eastAsia="黑体"/>
          <w:sz w:val="18"/>
          <w:szCs w:val="18"/>
        </w:rPr>
        <w:t xml:space="preserve">  </w:t>
      </w:r>
      <w:r>
        <w:rPr>
          <w:rFonts w:eastAsia="黑体" w:cs="黑体" w:hint="eastAsia"/>
          <w:sz w:val="18"/>
          <w:szCs w:val="18"/>
        </w:rPr>
        <w:t>北京市公共服务设施</w:t>
      </w:r>
      <w:r>
        <w:rPr>
          <w:rFonts w:eastAsia="黑体" w:hAnsi="黑体" w:cs="黑体" w:hint="eastAsia"/>
          <w:sz w:val="18"/>
          <w:szCs w:val="18"/>
        </w:rPr>
        <w:t>层级参数映射关系对照表（</w:t>
      </w:r>
      <w:r>
        <w:rPr>
          <w:rFonts w:eastAsia="黑体" w:hAnsi="黑体"/>
          <w:sz w:val="18"/>
          <w:szCs w:val="18"/>
        </w:rPr>
        <w:t>2026</w:t>
      </w:r>
      <w:r>
        <w:rPr>
          <w:rFonts w:eastAsia="黑体" w:hAnsi="黑体" w:cs="黑体" w:hint="eastAsia"/>
          <w:sz w:val="18"/>
          <w:szCs w:val="18"/>
        </w:rPr>
        <w:t>）</w:t>
      </w:r>
    </w:p>
    <w:tbl>
      <w:tblPr>
        <w:tblW w:w="7938" w:type="dxa"/>
        <w:jc w:val="center"/>
        <w:tblLayout w:type="fixed"/>
        <w:tblCellMar>
          <w:left w:w="57" w:type="dxa"/>
          <w:right w:w="57" w:type="dxa"/>
        </w:tblCellMar>
        <w:tblLook w:val="0000"/>
      </w:tblPr>
      <w:tblGrid>
        <w:gridCol w:w="588"/>
        <w:gridCol w:w="2531"/>
        <w:gridCol w:w="1907"/>
        <w:gridCol w:w="1343"/>
        <w:gridCol w:w="1569"/>
      </w:tblGrid>
      <w:tr w:rsidR="00B158E6">
        <w:trPr>
          <w:trHeight w:val="340"/>
          <w:tblHeader/>
          <w:jc w:val="center"/>
        </w:trPr>
        <w:tc>
          <w:tcPr>
            <w:tcW w:w="588" w:type="dxa"/>
            <w:tcBorders>
              <w:top w:val="single" w:sz="8" w:space="0" w:color="auto"/>
              <w:left w:val="nil"/>
              <w:bottom w:val="single" w:sz="4" w:space="0" w:color="auto"/>
              <w:right w:val="nil"/>
            </w:tcBorders>
            <w:shd w:val="clear" w:color="auto" w:fill="D9D9D9"/>
            <w:tcMar>
              <w:top w:w="-1" w:type="dxa"/>
              <w:left w:w="-1" w:type="dxa"/>
              <w:bottom w:w="-1" w:type="dxa"/>
              <w:right w:w="-1" w:type="dxa"/>
            </w:tcMar>
            <w:vAlign w:val="center"/>
          </w:tcPr>
          <w:p w:rsidR="00B158E6" w:rsidRDefault="00B158E6">
            <w:pPr>
              <w:spacing w:line="240" w:lineRule="auto"/>
              <w:ind w:firstLine="0"/>
              <w:jc w:val="center"/>
              <w:rPr>
                <w:rFonts w:cstheme="minorBidi"/>
                <w:sz w:val="16"/>
                <w:szCs w:val="16"/>
              </w:rPr>
            </w:pPr>
            <w:r>
              <w:rPr>
                <w:rFonts w:cs="方正书宋_GBK" w:hint="eastAsia"/>
                <w:kern w:val="0"/>
                <w:sz w:val="16"/>
                <w:szCs w:val="16"/>
              </w:rPr>
              <w:t>层级</w:t>
            </w:r>
          </w:p>
        </w:tc>
        <w:tc>
          <w:tcPr>
            <w:tcW w:w="2531" w:type="dxa"/>
            <w:tcBorders>
              <w:top w:val="single" w:sz="8" w:space="0" w:color="auto"/>
              <w:left w:val="nil"/>
              <w:bottom w:val="single" w:sz="4" w:space="0" w:color="auto"/>
              <w:right w:val="nil"/>
            </w:tcBorders>
            <w:shd w:val="clear" w:color="auto" w:fill="D9D9D9"/>
            <w:tcMar>
              <w:top w:w="-1" w:type="dxa"/>
              <w:left w:w="-1" w:type="dxa"/>
              <w:bottom w:w="-1" w:type="dxa"/>
              <w:right w:w="-1" w:type="dxa"/>
            </w:tcMar>
            <w:vAlign w:val="center"/>
          </w:tcPr>
          <w:p w:rsidR="00B158E6" w:rsidRDefault="00B158E6">
            <w:pPr>
              <w:spacing w:line="240" w:lineRule="auto"/>
              <w:ind w:firstLine="0"/>
              <w:jc w:val="center"/>
              <w:rPr>
                <w:rFonts w:cstheme="minorBidi"/>
                <w:sz w:val="16"/>
                <w:szCs w:val="16"/>
              </w:rPr>
            </w:pPr>
            <w:r>
              <w:rPr>
                <w:rFonts w:cs="方正书宋_GBK" w:hint="eastAsia"/>
                <w:kern w:val="0"/>
                <w:sz w:val="16"/>
                <w:szCs w:val="16"/>
              </w:rPr>
              <w:t>服务特征</w:t>
            </w:r>
          </w:p>
        </w:tc>
        <w:tc>
          <w:tcPr>
            <w:tcW w:w="1907" w:type="dxa"/>
            <w:tcBorders>
              <w:top w:val="single" w:sz="8" w:space="0" w:color="auto"/>
              <w:left w:val="nil"/>
              <w:bottom w:val="single" w:sz="4" w:space="0" w:color="auto"/>
              <w:right w:val="nil"/>
            </w:tcBorders>
            <w:shd w:val="clear" w:color="auto" w:fill="D9D9D9"/>
            <w:tcMar>
              <w:top w:w="-1" w:type="dxa"/>
              <w:left w:w="-1" w:type="dxa"/>
              <w:bottom w:w="-1" w:type="dxa"/>
              <w:right w:w="-1" w:type="dxa"/>
            </w:tcMar>
            <w:vAlign w:val="center"/>
          </w:tcPr>
          <w:p w:rsidR="00B158E6" w:rsidRDefault="00B158E6">
            <w:pPr>
              <w:spacing w:line="240" w:lineRule="auto"/>
              <w:ind w:firstLine="0"/>
              <w:jc w:val="center"/>
              <w:rPr>
                <w:rFonts w:cstheme="minorBidi"/>
                <w:sz w:val="16"/>
                <w:szCs w:val="16"/>
                <w:highlight w:val="lightGray"/>
              </w:rPr>
            </w:pPr>
            <w:r>
              <w:rPr>
                <w:rFonts w:cs="方正书宋_GBK" w:hint="eastAsia"/>
                <w:kern w:val="0"/>
                <w:sz w:val="16"/>
                <w:szCs w:val="16"/>
              </w:rPr>
              <w:t>服务半径</w:t>
            </w:r>
            <w:r>
              <w:rPr>
                <w:kern w:val="0"/>
                <w:sz w:val="16"/>
                <w:szCs w:val="16"/>
              </w:rPr>
              <w:t xml:space="preserve"> (m)</w:t>
            </w:r>
          </w:p>
        </w:tc>
        <w:tc>
          <w:tcPr>
            <w:tcW w:w="1343" w:type="dxa"/>
            <w:tcBorders>
              <w:top w:val="single" w:sz="8" w:space="0" w:color="auto"/>
              <w:left w:val="nil"/>
              <w:bottom w:val="single" w:sz="4" w:space="0" w:color="auto"/>
              <w:right w:val="nil"/>
            </w:tcBorders>
            <w:shd w:val="clear" w:color="auto" w:fill="D9D9D9"/>
            <w:tcMar>
              <w:top w:w="-1" w:type="dxa"/>
              <w:left w:w="-1" w:type="dxa"/>
              <w:bottom w:w="-1" w:type="dxa"/>
              <w:right w:w="-1" w:type="dxa"/>
            </w:tcMar>
            <w:vAlign w:val="center"/>
          </w:tcPr>
          <w:p w:rsidR="00B158E6" w:rsidRDefault="00B158E6">
            <w:pPr>
              <w:spacing w:line="240" w:lineRule="auto"/>
              <w:ind w:firstLine="0"/>
              <w:jc w:val="center"/>
              <w:rPr>
                <w:rFonts w:cstheme="minorBidi"/>
                <w:sz w:val="16"/>
                <w:szCs w:val="16"/>
              </w:rPr>
            </w:pPr>
            <w:r>
              <w:rPr>
                <w:kern w:val="0"/>
                <w:sz w:val="16"/>
                <w:szCs w:val="16"/>
              </w:rPr>
              <w:t>σ (m)</w:t>
            </w:r>
          </w:p>
        </w:tc>
        <w:tc>
          <w:tcPr>
            <w:tcW w:w="1569" w:type="dxa"/>
            <w:tcBorders>
              <w:top w:val="single" w:sz="8" w:space="0" w:color="auto"/>
              <w:left w:val="nil"/>
              <w:bottom w:val="single" w:sz="4" w:space="0" w:color="auto"/>
              <w:right w:val="nil"/>
            </w:tcBorders>
            <w:shd w:val="clear" w:color="auto" w:fill="D9D9D9"/>
            <w:tcMar>
              <w:top w:w="-1" w:type="dxa"/>
              <w:left w:w="-1" w:type="dxa"/>
              <w:bottom w:w="-1" w:type="dxa"/>
              <w:right w:w="-1" w:type="dxa"/>
            </w:tcMar>
            <w:vAlign w:val="center"/>
          </w:tcPr>
          <w:p w:rsidR="00B158E6" w:rsidRDefault="00B158E6">
            <w:pPr>
              <w:spacing w:line="240" w:lineRule="auto"/>
              <w:ind w:firstLine="0"/>
              <w:jc w:val="center"/>
              <w:rPr>
                <w:rFonts w:cstheme="minorBidi"/>
                <w:sz w:val="16"/>
                <w:szCs w:val="16"/>
              </w:rPr>
            </w:pPr>
            <w:r>
              <w:rPr>
                <w:rFonts w:cs="方正书宋_GBK" w:hint="eastAsia"/>
                <w:kern w:val="0"/>
                <w:sz w:val="16"/>
                <w:szCs w:val="16"/>
              </w:rPr>
              <w:t>供给系数</w:t>
            </w:r>
          </w:p>
        </w:tc>
      </w:tr>
      <w:tr w:rsidR="00B158E6">
        <w:trPr>
          <w:trHeight w:val="340"/>
          <w:jc w:val="center"/>
        </w:trPr>
        <w:tc>
          <w:tcPr>
            <w:tcW w:w="588" w:type="dxa"/>
            <w:tcBorders>
              <w:top w:val="single" w:sz="4" w:space="0" w:color="auto"/>
              <w:left w:val="nil"/>
              <w:bottom w:val="nil"/>
              <w:right w:val="nil"/>
            </w:tcBorders>
            <w:tcMar>
              <w:top w:w="-1" w:type="dxa"/>
              <w:left w:w="-1" w:type="dxa"/>
              <w:bottom w:w="-1" w:type="dxa"/>
              <w:right w:w="-1" w:type="dxa"/>
            </w:tcMar>
            <w:vAlign w:val="center"/>
          </w:tcPr>
          <w:p w:rsidR="00B158E6" w:rsidRDefault="00B158E6">
            <w:pPr>
              <w:spacing w:line="240" w:lineRule="auto"/>
              <w:ind w:firstLine="0"/>
              <w:jc w:val="center"/>
              <w:rPr>
                <w:rFonts w:cstheme="minorBidi"/>
                <w:sz w:val="16"/>
                <w:szCs w:val="16"/>
              </w:rPr>
            </w:pPr>
            <w:r>
              <w:rPr>
                <w:kern w:val="0"/>
                <w:sz w:val="16"/>
                <w:szCs w:val="16"/>
              </w:rPr>
              <w:t>L1</w:t>
            </w:r>
          </w:p>
        </w:tc>
        <w:tc>
          <w:tcPr>
            <w:tcW w:w="2531" w:type="dxa"/>
            <w:tcBorders>
              <w:top w:val="single" w:sz="4" w:space="0" w:color="auto"/>
              <w:left w:val="nil"/>
              <w:bottom w:val="nil"/>
              <w:right w:val="nil"/>
            </w:tcBorders>
            <w:tcMar>
              <w:top w:w="-1" w:type="dxa"/>
              <w:left w:w="-1" w:type="dxa"/>
              <w:bottom w:w="-1" w:type="dxa"/>
              <w:right w:w="-1" w:type="dxa"/>
            </w:tcMar>
            <w:vAlign w:val="center"/>
          </w:tcPr>
          <w:p w:rsidR="00B158E6" w:rsidRDefault="00B158E6">
            <w:pPr>
              <w:spacing w:line="240" w:lineRule="auto"/>
              <w:ind w:firstLine="169"/>
              <w:rPr>
                <w:rFonts w:cstheme="minorBidi"/>
                <w:sz w:val="16"/>
                <w:szCs w:val="16"/>
              </w:rPr>
            </w:pPr>
            <w:r>
              <w:rPr>
                <w:rFonts w:cs="方正书宋_GBK" w:hint="eastAsia"/>
                <w:kern w:val="0"/>
                <w:sz w:val="16"/>
                <w:szCs w:val="16"/>
              </w:rPr>
              <w:t>城市级核心设施（跨区域服务）</w:t>
            </w:r>
          </w:p>
        </w:tc>
        <w:tc>
          <w:tcPr>
            <w:tcW w:w="1907" w:type="dxa"/>
            <w:tcBorders>
              <w:top w:val="single" w:sz="4" w:space="0" w:color="auto"/>
              <w:left w:val="nil"/>
              <w:bottom w:val="nil"/>
              <w:right w:val="nil"/>
            </w:tcBorders>
            <w:tcMar>
              <w:top w:w="-1" w:type="dxa"/>
              <w:left w:w="-1" w:type="dxa"/>
              <w:bottom w:w="-1" w:type="dxa"/>
              <w:right w:w="-1" w:type="dxa"/>
            </w:tcMar>
            <w:vAlign w:val="center"/>
          </w:tcPr>
          <w:p w:rsidR="00B158E6" w:rsidRDefault="00B158E6">
            <w:pPr>
              <w:spacing w:line="240" w:lineRule="auto"/>
              <w:ind w:firstLine="589"/>
              <w:rPr>
                <w:rFonts w:cstheme="minorBidi"/>
                <w:sz w:val="16"/>
                <w:szCs w:val="16"/>
              </w:rPr>
            </w:pPr>
            <w:r>
              <w:rPr>
                <w:kern w:val="0"/>
                <w:sz w:val="16"/>
                <w:szCs w:val="16"/>
              </w:rPr>
              <w:t>8,000–12,000</w:t>
            </w:r>
          </w:p>
        </w:tc>
        <w:tc>
          <w:tcPr>
            <w:tcW w:w="1343" w:type="dxa"/>
            <w:tcBorders>
              <w:top w:val="single" w:sz="4" w:space="0" w:color="auto"/>
              <w:left w:val="nil"/>
              <w:bottom w:val="nil"/>
              <w:right w:val="nil"/>
            </w:tcBorders>
            <w:tcMar>
              <w:top w:w="-1" w:type="dxa"/>
              <w:left w:w="-1" w:type="dxa"/>
              <w:bottom w:w="-1" w:type="dxa"/>
              <w:right w:w="-1" w:type="dxa"/>
            </w:tcMar>
            <w:vAlign w:val="center"/>
          </w:tcPr>
          <w:p w:rsidR="00B158E6" w:rsidRDefault="00B158E6">
            <w:pPr>
              <w:spacing w:line="240" w:lineRule="auto"/>
              <w:ind w:firstLine="267"/>
              <w:rPr>
                <w:rFonts w:cstheme="minorBidi"/>
                <w:sz w:val="16"/>
                <w:szCs w:val="16"/>
              </w:rPr>
            </w:pPr>
            <w:r>
              <w:rPr>
                <w:kern w:val="0"/>
                <w:sz w:val="16"/>
                <w:szCs w:val="16"/>
              </w:rPr>
              <w:t>2,500–3,500</w:t>
            </w:r>
          </w:p>
        </w:tc>
        <w:tc>
          <w:tcPr>
            <w:tcW w:w="1569" w:type="dxa"/>
            <w:tcBorders>
              <w:top w:val="single" w:sz="4" w:space="0" w:color="auto"/>
              <w:left w:val="nil"/>
              <w:bottom w:val="nil"/>
              <w:right w:val="nil"/>
            </w:tcBorders>
            <w:tcMar>
              <w:top w:w="-1" w:type="dxa"/>
              <w:left w:w="-1" w:type="dxa"/>
              <w:bottom w:w="-1" w:type="dxa"/>
              <w:right w:w="-1" w:type="dxa"/>
            </w:tcMar>
            <w:vAlign w:val="center"/>
          </w:tcPr>
          <w:p w:rsidR="00B158E6" w:rsidRDefault="00B158E6">
            <w:pPr>
              <w:spacing w:line="240" w:lineRule="auto"/>
              <w:ind w:firstLine="631"/>
              <w:rPr>
                <w:rFonts w:cstheme="minorBidi"/>
                <w:sz w:val="16"/>
                <w:szCs w:val="16"/>
              </w:rPr>
            </w:pPr>
            <w:r>
              <w:rPr>
                <w:kern w:val="0"/>
                <w:sz w:val="16"/>
                <w:szCs w:val="16"/>
              </w:rPr>
              <w:t>4–5</w:t>
            </w:r>
          </w:p>
        </w:tc>
      </w:tr>
      <w:tr w:rsidR="00B158E6">
        <w:trPr>
          <w:trHeight w:val="340"/>
          <w:jc w:val="center"/>
        </w:trPr>
        <w:tc>
          <w:tcPr>
            <w:tcW w:w="588"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0"/>
              <w:jc w:val="center"/>
              <w:rPr>
                <w:rFonts w:cstheme="minorBidi"/>
                <w:sz w:val="16"/>
                <w:szCs w:val="16"/>
              </w:rPr>
            </w:pPr>
            <w:r>
              <w:rPr>
                <w:kern w:val="0"/>
                <w:sz w:val="16"/>
                <w:szCs w:val="16"/>
              </w:rPr>
              <w:t>L2</w:t>
            </w:r>
          </w:p>
        </w:tc>
        <w:tc>
          <w:tcPr>
            <w:tcW w:w="2531"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169"/>
              <w:rPr>
                <w:rFonts w:cstheme="minorBidi"/>
                <w:sz w:val="16"/>
                <w:szCs w:val="16"/>
              </w:rPr>
            </w:pPr>
            <w:r>
              <w:rPr>
                <w:rFonts w:cs="方正书宋_GBK" w:hint="eastAsia"/>
                <w:kern w:val="0"/>
                <w:sz w:val="16"/>
                <w:szCs w:val="16"/>
              </w:rPr>
              <w:t>区域级重要设施（跨片区服务）</w:t>
            </w:r>
          </w:p>
        </w:tc>
        <w:tc>
          <w:tcPr>
            <w:tcW w:w="1907"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589"/>
              <w:rPr>
                <w:rFonts w:cstheme="minorBidi"/>
                <w:sz w:val="16"/>
                <w:szCs w:val="16"/>
              </w:rPr>
            </w:pPr>
            <w:r>
              <w:rPr>
                <w:kern w:val="0"/>
                <w:sz w:val="16"/>
                <w:szCs w:val="16"/>
              </w:rPr>
              <w:t>5,000–8,000</w:t>
            </w:r>
          </w:p>
        </w:tc>
        <w:tc>
          <w:tcPr>
            <w:tcW w:w="1343"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267"/>
              <w:rPr>
                <w:rFonts w:cstheme="minorBidi"/>
                <w:sz w:val="16"/>
                <w:szCs w:val="16"/>
              </w:rPr>
            </w:pPr>
            <w:r>
              <w:rPr>
                <w:kern w:val="0"/>
                <w:sz w:val="16"/>
                <w:szCs w:val="16"/>
              </w:rPr>
              <w:t>1,500–2,500</w:t>
            </w:r>
          </w:p>
        </w:tc>
        <w:tc>
          <w:tcPr>
            <w:tcW w:w="1569"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631"/>
              <w:rPr>
                <w:rFonts w:cstheme="minorBidi"/>
                <w:sz w:val="16"/>
                <w:szCs w:val="16"/>
              </w:rPr>
            </w:pPr>
            <w:r>
              <w:rPr>
                <w:kern w:val="0"/>
                <w:sz w:val="16"/>
                <w:szCs w:val="16"/>
              </w:rPr>
              <w:t>3–4</w:t>
            </w:r>
          </w:p>
        </w:tc>
      </w:tr>
      <w:tr w:rsidR="00B158E6">
        <w:trPr>
          <w:trHeight w:val="340"/>
          <w:jc w:val="center"/>
        </w:trPr>
        <w:tc>
          <w:tcPr>
            <w:tcW w:w="588"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0"/>
              <w:jc w:val="center"/>
              <w:rPr>
                <w:rFonts w:cstheme="minorBidi"/>
                <w:sz w:val="16"/>
                <w:szCs w:val="16"/>
              </w:rPr>
            </w:pPr>
            <w:r>
              <w:rPr>
                <w:kern w:val="0"/>
                <w:sz w:val="16"/>
                <w:szCs w:val="16"/>
              </w:rPr>
              <w:t>L3</w:t>
            </w:r>
          </w:p>
        </w:tc>
        <w:tc>
          <w:tcPr>
            <w:tcW w:w="2531"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169"/>
              <w:rPr>
                <w:rFonts w:cstheme="minorBidi"/>
                <w:sz w:val="16"/>
                <w:szCs w:val="16"/>
              </w:rPr>
            </w:pPr>
            <w:r>
              <w:rPr>
                <w:rFonts w:cs="方正书宋_GBK" w:hint="eastAsia"/>
                <w:kern w:val="0"/>
                <w:sz w:val="16"/>
                <w:szCs w:val="16"/>
              </w:rPr>
              <w:t>中尺度设施（街道</w:t>
            </w:r>
            <w:r>
              <w:rPr>
                <w:kern w:val="0"/>
                <w:sz w:val="16"/>
                <w:szCs w:val="16"/>
              </w:rPr>
              <w:t>/</w:t>
            </w:r>
            <w:r>
              <w:rPr>
                <w:rFonts w:cs="方正书宋_GBK" w:hint="eastAsia"/>
                <w:kern w:val="0"/>
                <w:sz w:val="16"/>
                <w:szCs w:val="16"/>
              </w:rPr>
              <w:t>片区服务）</w:t>
            </w:r>
          </w:p>
        </w:tc>
        <w:tc>
          <w:tcPr>
            <w:tcW w:w="1907"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589"/>
              <w:rPr>
                <w:rFonts w:cstheme="minorBidi"/>
                <w:sz w:val="16"/>
                <w:szCs w:val="16"/>
              </w:rPr>
            </w:pPr>
            <w:r>
              <w:rPr>
                <w:kern w:val="0"/>
                <w:sz w:val="16"/>
                <w:szCs w:val="16"/>
              </w:rPr>
              <w:t>3,000–5,000</w:t>
            </w:r>
          </w:p>
        </w:tc>
        <w:tc>
          <w:tcPr>
            <w:tcW w:w="1343"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267"/>
              <w:rPr>
                <w:rFonts w:cstheme="minorBidi"/>
                <w:sz w:val="16"/>
                <w:szCs w:val="16"/>
              </w:rPr>
            </w:pPr>
            <w:r>
              <w:rPr>
                <w:kern w:val="0"/>
                <w:sz w:val="16"/>
                <w:szCs w:val="16"/>
              </w:rPr>
              <w:t>1,000–1,500</w:t>
            </w:r>
          </w:p>
        </w:tc>
        <w:tc>
          <w:tcPr>
            <w:tcW w:w="1569"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631"/>
              <w:rPr>
                <w:rFonts w:cstheme="minorBidi"/>
                <w:sz w:val="16"/>
                <w:szCs w:val="16"/>
              </w:rPr>
            </w:pPr>
            <w:r>
              <w:rPr>
                <w:kern w:val="0"/>
                <w:sz w:val="16"/>
                <w:szCs w:val="16"/>
              </w:rPr>
              <w:t>2–3</w:t>
            </w:r>
          </w:p>
        </w:tc>
      </w:tr>
      <w:tr w:rsidR="00B158E6">
        <w:trPr>
          <w:trHeight w:val="340"/>
          <w:jc w:val="center"/>
        </w:trPr>
        <w:tc>
          <w:tcPr>
            <w:tcW w:w="588"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0"/>
              <w:jc w:val="center"/>
              <w:rPr>
                <w:rFonts w:cstheme="minorBidi"/>
                <w:sz w:val="16"/>
                <w:szCs w:val="16"/>
              </w:rPr>
            </w:pPr>
            <w:r>
              <w:rPr>
                <w:kern w:val="0"/>
                <w:sz w:val="16"/>
                <w:szCs w:val="16"/>
              </w:rPr>
              <w:t>L4</w:t>
            </w:r>
          </w:p>
        </w:tc>
        <w:tc>
          <w:tcPr>
            <w:tcW w:w="2531"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169"/>
              <w:rPr>
                <w:rFonts w:cstheme="minorBidi"/>
                <w:sz w:val="16"/>
                <w:szCs w:val="16"/>
              </w:rPr>
            </w:pPr>
            <w:r>
              <w:rPr>
                <w:rFonts w:cs="方正书宋_GBK" w:hint="eastAsia"/>
                <w:kern w:val="0"/>
                <w:sz w:val="16"/>
                <w:szCs w:val="16"/>
              </w:rPr>
              <w:t>社区级设施（局部服务）</w:t>
            </w:r>
          </w:p>
        </w:tc>
        <w:tc>
          <w:tcPr>
            <w:tcW w:w="1907"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589"/>
              <w:rPr>
                <w:rFonts w:cstheme="minorBidi"/>
                <w:sz w:val="16"/>
                <w:szCs w:val="16"/>
              </w:rPr>
            </w:pPr>
            <w:r>
              <w:rPr>
                <w:kern w:val="0"/>
                <w:sz w:val="16"/>
                <w:szCs w:val="16"/>
              </w:rPr>
              <w:t>1,000–3,000</w:t>
            </w:r>
          </w:p>
        </w:tc>
        <w:tc>
          <w:tcPr>
            <w:tcW w:w="1343"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267"/>
              <w:rPr>
                <w:rFonts w:cstheme="minorBidi"/>
                <w:sz w:val="16"/>
                <w:szCs w:val="16"/>
              </w:rPr>
            </w:pPr>
            <w:r>
              <w:rPr>
                <w:kern w:val="0"/>
                <w:sz w:val="16"/>
                <w:szCs w:val="16"/>
              </w:rPr>
              <w:t>500–1,000</w:t>
            </w:r>
          </w:p>
        </w:tc>
        <w:tc>
          <w:tcPr>
            <w:tcW w:w="1569" w:type="dxa"/>
            <w:tcBorders>
              <w:top w:val="nil"/>
              <w:left w:val="nil"/>
              <w:bottom w:val="nil"/>
              <w:right w:val="nil"/>
            </w:tcBorders>
            <w:tcMar>
              <w:top w:w="-1" w:type="dxa"/>
              <w:left w:w="-1" w:type="dxa"/>
              <w:bottom w:w="-1" w:type="dxa"/>
              <w:right w:w="-1" w:type="dxa"/>
            </w:tcMar>
            <w:vAlign w:val="center"/>
          </w:tcPr>
          <w:p w:rsidR="00B158E6" w:rsidRDefault="00B158E6">
            <w:pPr>
              <w:spacing w:line="240" w:lineRule="auto"/>
              <w:ind w:firstLine="631"/>
              <w:rPr>
                <w:rFonts w:cstheme="minorBidi"/>
                <w:sz w:val="16"/>
                <w:szCs w:val="16"/>
              </w:rPr>
            </w:pPr>
            <w:r>
              <w:rPr>
                <w:kern w:val="0"/>
                <w:sz w:val="16"/>
                <w:szCs w:val="16"/>
              </w:rPr>
              <w:t>1–2</w:t>
            </w:r>
          </w:p>
        </w:tc>
      </w:tr>
      <w:tr w:rsidR="00B158E6">
        <w:trPr>
          <w:trHeight w:val="340"/>
          <w:jc w:val="center"/>
        </w:trPr>
        <w:tc>
          <w:tcPr>
            <w:tcW w:w="588" w:type="dxa"/>
            <w:tcBorders>
              <w:top w:val="nil"/>
              <w:left w:val="nil"/>
              <w:bottom w:val="single" w:sz="8" w:space="0" w:color="auto"/>
              <w:right w:val="nil"/>
            </w:tcBorders>
            <w:tcMar>
              <w:top w:w="-1" w:type="dxa"/>
              <w:left w:w="-1" w:type="dxa"/>
              <w:bottom w:w="-1" w:type="dxa"/>
              <w:right w:w="-1" w:type="dxa"/>
            </w:tcMar>
            <w:vAlign w:val="center"/>
          </w:tcPr>
          <w:p w:rsidR="00B158E6" w:rsidRDefault="00B158E6">
            <w:pPr>
              <w:spacing w:line="240" w:lineRule="auto"/>
              <w:ind w:firstLine="0"/>
              <w:jc w:val="center"/>
              <w:rPr>
                <w:rFonts w:cstheme="minorBidi"/>
                <w:sz w:val="16"/>
                <w:szCs w:val="16"/>
              </w:rPr>
            </w:pPr>
            <w:r>
              <w:rPr>
                <w:kern w:val="0"/>
                <w:sz w:val="16"/>
                <w:szCs w:val="16"/>
              </w:rPr>
              <w:t>L5</w:t>
            </w:r>
          </w:p>
        </w:tc>
        <w:tc>
          <w:tcPr>
            <w:tcW w:w="2531" w:type="dxa"/>
            <w:tcBorders>
              <w:top w:val="nil"/>
              <w:left w:val="nil"/>
              <w:bottom w:val="single" w:sz="8" w:space="0" w:color="auto"/>
              <w:right w:val="nil"/>
            </w:tcBorders>
            <w:tcMar>
              <w:top w:w="-1" w:type="dxa"/>
              <w:left w:w="-1" w:type="dxa"/>
              <w:bottom w:w="-1" w:type="dxa"/>
              <w:right w:w="-1" w:type="dxa"/>
            </w:tcMar>
            <w:vAlign w:val="center"/>
          </w:tcPr>
          <w:p w:rsidR="00B158E6" w:rsidRDefault="00B158E6">
            <w:pPr>
              <w:spacing w:line="240" w:lineRule="auto"/>
              <w:ind w:firstLine="169"/>
              <w:rPr>
                <w:rFonts w:cstheme="minorBidi"/>
                <w:sz w:val="16"/>
                <w:szCs w:val="16"/>
              </w:rPr>
            </w:pPr>
            <w:r>
              <w:rPr>
                <w:rFonts w:cs="方正书宋_GBK" w:hint="eastAsia"/>
                <w:kern w:val="0"/>
                <w:sz w:val="16"/>
                <w:szCs w:val="16"/>
              </w:rPr>
              <w:t>邻里级设施（微观日常服务）</w:t>
            </w:r>
          </w:p>
        </w:tc>
        <w:tc>
          <w:tcPr>
            <w:tcW w:w="1907" w:type="dxa"/>
            <w:tcBorders>
              <w:top w:val="nil"/>
              <w:left w:val="nil"/>
              <w:bottom w:val="single" w:sz="8" w:space="0" w:color="auto"/>
              <w:right w:val="nil"/>
            </w:tcBorders>
            <w:tcMar>
              <w:top w:w="-1" w:type="dxa"/>
              <w:left w:w="-1" w:type="dxa"/>
              <w:bottom w:w="-1" w:type="dxa"/>
              <w:right w:w="-1" w:type="dxa"/>
            </w:tcMar>
            <w:vAlign w:val="center"/>
          </w:tcPr>
          <w:p w:rsidR="00B158E6" w:rsidRDefault="00B158E6">
            <w:pPr>
              <w:spacing w:line="240" w:lineRule="auto"/>
              <w:ind w:firstLine="589"/>
              <w:rPr>
                <w:rFonts w:cstheme="minorBidi"/>
                <w:sz w:val="16"/>
                <w:szCs w:val="16"/>
              </w:rPr>
            </w:pPr>
            <w:r>
              <w:rPr>
                <w:kern w:val="0"/>
                <w:sz w:val="16"/>
                <w:szCs w:val="16"/>
              </w:rPr>
              <w:t>300–1,000</w:t>
            </w:r>
          </w:p>
        </w:tc>
        <w:tc>
          <w:tcPr>
            <w:tcW w:w="1343" w:type="dxa"/>
            <w:tcBorders>
              <w:top w:val="nil"/>
              <w:left w:val="nil"/>
              <w:bottom w:val="single" w:sz="8" w:space="0" w:color="auto"/>
              <w:right w:val="nil"/>
            </w:tcBorders>
            <w:tcMar>
              <w:top w:w="-1" w:type="dxa"/>
              <w:left w:w="-1" w:type="dxa"/>
              <w:bottom w:w="-1" w:type="dxa"/>
              <w:right w:w="-1" w:type="dxa"/>
            </w:tcMar>
            <w:vAlign w:val="center"/>
          </w:tcPr>
          <w:p w:rsidR="00B158E6" w:rsidRDefault="00B158E6">
            <w:pPr>
              <w:spacing w:line="240" w:lineRule="auto"/>
              <w:ind w:firstLine="267"/>
              <w:rPr>
                <w:rFonts w:cstheme="minorBidi"/>
                <w:sz w:val="16"/>
                <w:szCs w:val="16"/>
              </w:rPr>
            </w:pPr>
            <w:r>
              <w:rPr>
                <w:kern w:val="0"/>
                <w:sz w:val="16"/>
                <w:szCs w:val="16"/>
              </w:rPr>
              <w:t>200–500</w:t>
            </w:r>
          </w:p>
        </w:tc>
        <w:tc>
          <w:tcPr>
            <w:tcW w:w="1569" w:type="dxa"/>
            <w:tcBorders>
              <w:top w:val="nil"/>
              <w:left w:val="nil"/>
              <w:bottom w:val="single" w:sz="8" w:space="0" w:color="auto"/>
              <w:right w:val="nil"/>
            </w:tcBorders>
            <w:tcMar>
              <w:top w:w="-1" w:type="dxa"/>
              <w:left w:w="-1" w:type="dxa"/>
              <w:bottom w:w="-1" w:type="dxa"/>
              <w:right w:w="-1" w:type="dxa"/>
            </w:tcMar>
            <w:vAlign w:val="center"/>
          </w:tcPr>
          <w:p w:rsidR="00B158E6" w:rsidRDefault="00B158E6">
            <w:pPr>
              <w:spacing w:line="240" w:lineRule="auto"/>
              <w:ind w:firstLine="631"/>
              <w:rPr>
                <w:rFonts w:cstheme="minorBidi"/>
                <w:sz w:val="16"/>
                <w:szCs w:val="16"/>
              </w:rPr>
            </w:pPr>
            <w:r>
              <w:rPr>
                <w:kern w:val="0"/>
                <w:sz w:val="16"/>
                <w:szCs w:val="16"/>
              </w:rPr>
              <w:t>1</w:t>
            </w:r>
          </w:p>
        </w:tc>
      </w:tr>
    </w:tbl>
    <w:p w:rsidR="00B158E6" w:rsidRDefault="00B158E6">
      <w:pPr>
        <w:rPr>
          <w:rFonts w:cstheme="minorBidi"/>
          <w:sz w:val="24"/>
          <w:szCs w:val="24"/>
        </w:rPr>
      </w:pPr>
    </w:p>
    <w:p w:rsidR="00B158E6" w:rsidRDefault="00B158E6">
      <w:pPr>
        <w:rPr>
          <w:rFonts w:cstheme="minorBidi"/>
        </w:rPr>
      </w:pPr>
      <w:r>
        <w:rPr>
          <w:rFonts w:cs="方正书宋_GBK" w:hint="eastAsia"/>
        </w:rPr>
        <w:t>通过该层级体系，图</w:t>
      </w:r>
      <w:r>
        <w:t>5</w:t>
      </w:r>
      <w:r>
        <w:rPr>
          <w:rFonts w:cs="方正书宋_GBK" w:hint="eastAsia"/>
        </w:rPr>
        <w:t>显示不同类型设施在服务能力与空间作用范围上的差异被转化为统一参数表达，从而提高模型的一致性与可解释性。</w:t>
      </w:r>
    </w:p>
    <w:p w:rsidR="00B158E6" w:rsidRDefault="00B158E6">
      <w:pPr>
        <w:pStyle w:val="40"/>
        <w:rPr>
          <w:rFonts w:cstheme="minorBidi"/>
        </w:rPr>
      </w:pPr>
      <w:r>
        <w:rPr>
          <w:b/>
          <w:bCs/>
        </w:rPr>
        <w:t xml:space="preserve">3.2 </w:t>
      </w:r>
      <w:r>
        <w:t xml:space="preserve"> </w:t>
      </w:r>
      <w:r>
        <w:rPr>
          <w:rFonts w:cs="黑体" w:hint="eastAsia"/>
        </w:rPr>
        <w:t>六类公共服务设施可达性的空间分布特征</w:t>
      </w:r>
    </w:p>
    <w:p w:rsidR="00B158E6" w:rsidRDefault="00B158E6">
      <w:pPr>
        <w:rPr>
          <w:rFonts w:ascii="方正书宋_GBK" w:cstheme="minorBidi"/>
        </w:rPr>
      </w:pPr>
      <w:r>
        <w:rPr>
          <w:rFonts w:cs="方正书宋_GBK" w:hint="eastAsia"/>
          <w:spacing w:val="2"/>
        </w:rPr>
        <w:t>基于</w:t>
      </w:r>
      <w:r>
        <w:rPr>
          <w:spacing w:val="2"/>
        </w:rPr>
        <w:t>MRGS2SFCA</w:t>
      </w:r>
      <w:r>
        <w:rPr>
          <w:rFonts w:cs="方正书宋_GBK" w:hint="eastAsia"/>
          <w:spacing w:val="2"/>
        </w:rPr>
        <w:t>模型计算结果，北京市六类公共服务设施在空间上均呈现出由中心城区向外围递减的总体格局，但不同类型设施在衰减强度与空间连续性上存在显著差异（图</w:t>
      </w:r>
      <w:r>
        <w:rPr>
          <w:spacing w:val="2"/>
        </w:rPr>
        <w:t>6</w:t>
      </w:r>
      <w:r>
        <w:rPr>
          <w:rFonts w:cs="方正书宋_GBK" w:hint="eastAsia"/>
          <w:spacing w:val="2"/>
        </w:rPr>
        <w:t>）</w:t>
      </w:r>
      <w:r>
        <w:rPr>
          <w:rFonts w:cs="方正书宋_GBK" w:hint="eastAsia"/>
        </w:rPr>
        <w:t>。</w:t>
      </w:r>
    </w:p>
    <w:p w:rsidR="00B158E6" w:rsidRDefault="00B158E6">
      <w:pPr>
        <w:jc w:val="distribute"/>
        <w:rPr>
          <w:rFonts w:ascii="方正书宋_GBK" w:cstheme="minorBidi"/>
        </w:rPr>
      </w:pPr>
      <w:r>
        <w:rPr>
          <w:rFonts w:cs="方正书宋_GBK" w:hint="eastAsia"/>
        </w:rPr>
        <w:t>医疗设施表现为典型的中心集聚型结构，高值区主要集中于核心城区，外围区域可达</w:t>
      </w:r>
    </w:p>
    <w:p w:rsidR="00B158E6" w:rsidRDefault="00B158E6">
      <w:pPr>
        <w:rPr>
          <w:rFonts w:cstheme="minorBidi"/>
          <w:sz w:val="18"/>
          <w:szCs w:val="18"/>
        </w:rPr>
      </w:pPr>
    </w:p>
    <w:p w:rsidR="00B158E6" w:rsidRDefault="009A1B3A">
      <w:pPr>
        <w:ind w:firstLine="0"/>
        <w:jc w:val="center"/>
        <w:rPr>
          <w:rFonts w:cstheme="minorBidi"/>
          <w:sz w:val="18"/>
          <w:szCs w:val="18"/>
        </w:rPr>
      </w:pPr>
      <w:r w:rsidRPr="00C92DA1">
        <w:rPr>
          <w:rFonts w:cstheme="minorBidi"/>
          <w:noProof/>
          <w:sz w:val="18"/>
          <w:szCs w:val="18"/>
        </w:rPr>
        <w:pict>
          <v:shape id="图片 38" o:spid="_x0000_i1063" type="#_x0000_t75" alt="田浩正中文图5" style="width:282pt;height:195.75pt;visibility:visible">
            <v:imagedata r:id="rId78" o:title=""/>
          </v:shape>
        </w:pict>
      </w:r>
    </w:p>
    <w:p w:rsidR="00B158E6" w:rsidRDefault="00B158E6">
      <w:pPr>
        <w:ind w:firstLine="0"/>
        <w:jc w:val="center"/>
        <w:rPr>
          <w:rFonts w:cstheme="minorBidi"/>
          <w:sz w:val="16"/>
          <w:szCs w:val="16"/>
        </w:rPr>
      </w:pPr>
    </w:p>
    <w:p w:rsidR="00B158E6" w:rsidRDefault="00B158E6">
      <w:pPr>
        <w:ind w:firstLine="0"/>
        <w:jc w:val="center"/>
        <w:rPr>
          <w:rFonts w:cstheme="minorBidi"/>
          <w:sz w:val="18"/>
          <w:szCs w:val="18"/>
        </w:rPr>
      </w:pPr>
      <w:r>
        <w:rPr>
          <w:rFonts w:cs="方正书宋_GBK" w:hint="eastAsia"/>
          <w:sz w:val="18"/>
          <w:szCs w:val="18"/>
        </w:rPr>
        <w:t>图</w:t>
      </w:r>
      <w:r>
        <w:rPr>
          <w:sz w:val="18"/>
          <w:szCs w:val="18"/>
        </w:rPr>
        <w:t xml:space="preserve">5  </w:t>
      </w:r>
      <w:r>
        <w:rPr>
          <w:rFonts w:cs="方正书宋_GBK" w:hint="eastAsia"/>
          <w:sz w:val="18"/>
          <w:szCs w:val="18"/>
        </w:rPr>
        <w:t>层级参数作用机制示意图</w:t>
      </w:r>
    </w:p>
    <w:p w:rsidR="00B158E6" w:rsidRDefault="00B158E6">
      <w:pPr>
        <w:spacing w:line="283" w:lineRule="auto"/>
        <w:ind w:firstLine="0"/>
        <w:rPr>
          <w:rFonts w:cstheme="minorBidi"/>
        </w:rPr>
      </w:pPr>
      <w:r>
        <w:rPr>
          <w:rFonts w:cs="方正书宋_GBK" w:hint="eastAsia"/>
        </w:rPr>
        <w:lastRenderedPageBreak/>
        <w:t>性迅速下降，说明其服务的供给受等级体系与资源集聚的双重约束；教育设施整体格局与医疗相似，但在部分副中心与组团区域形成局部次高值，反映出教育资源在空间配置上具有一定的扩散特征，但仍未形成均衡覆盖。交通设施呈现出连续性更强的高值网络结构，高可达性区域沿主干交通廊道与节点展开，空间过渡相对平缓，说明交通设施在网络结构中的连接作用能够有效缓解空间阻抗。购物设施则表现为多中心分布特征，高值区除核心城区外，在若干区域性商业节点亦有显现，表明其空间布局更依赖市场驱动与消费需求分布。休闲设施整体分布较为离散，高值区呈点状或片状分布，缺乏连续覆盖，显示其供给更受特定资源禀赋与功能定位影响。生活服务设施则呈现出最为均匀的空间分布特征，高值区覆盖范围较广，空间衰减相对缓和，说明此类设施在日常生活需求驱动下形成了较为密集且稳定的基层服务网络。</w:t>
      </w:r>
    </w:p>
    <w:p w:rsidR="00B158E6" w:rsidRDefault="00B158E6">
      <w:pPr>
        <w:spacing w:line="283" w:lineRule="auto"/>
        <w:rPr>
          <w:rFonts w:cstheme="minorBidi"/>
        </w:rPr>
      </w:pPr>
      <w:r>
        <w:rPr>
          <w:rFonts w:cs="方正书宋_GBK" w:hint="eastAsia"/>
        </w:rPr>
        <w:t>从整体上看，六类设施虽均表现出中心</w:t>
      </w:r>
      <w:r>
        <w:t>-</w:t>
      </w:r>
      <w:r>
        <w:rPr>
          <w:rFonts w:cs="方正书宋_GBK" w:hint="eastAsia"/>
        </w:rPr>
        <w:t>外围梯度结构，但其形成机制并不一致：医疗与教育更依赖等级体系与行政配置，交通体现网络结构的连续性，购物体现市场导向的节点集聚，休闲受资源与功能约束呈离散分布，而生活服务则以高密度、广覆盖为特征。这种差异说明，不同类型公共服务在同一城市空间中并非同质扩展，而是通过不同机制共同塑造了城市服务格局。</w:t>
      </w:r>
    </w:p>
    <w:p w:rsidR="00B158E6" w:rsidRDefault="00B158E6">
      <w:pPr>
        <w:pStyle w:val="40"/>
        <w:rPr>
          <w:rFonts w:cstheme="minorBidi"/>
        </w:rPr>
      </w:pPr>
      <w:r>
        <w:rPr>
          <w:b/>
          <w:bCs/>
        </w:rPr>
        <w:t>3.3</w:t>
      </w:r>
      <w:r>
        <w:t xml:space="preserve">  </w:t>
      </w:r>
      <w:r>
        <w:rPr>
          <w:rFonts w:cs="黑体" w:hint="eastAsia"/>
        </w:rPr>
        <w:t>六类设施可达性的综合对比与结构差异</w:t>
      </w:r>
    </w:p>
    <w:p w:rsidR="00B158E6" w:rsidRDefault="00B158E6">
      <w:pPr>
        <w:spacing w:line="283" w:lineRule="auto"/>
        <w:rPr>
          <w:rFonts w:cstheme="minorBidi"/>
        </w:rPr>
      </w:pPr>
      <w:r>
        <w:rPr>
          <w:rFonts w:cs="方正书宋_GBK" w:hint="eastAsia"/>
        </w:rPr>
        <w:t>在空间分布分析的基础上，对六类设施可达性进行统计对比，可以更清晰地揭示其整体水平与分布特征之间的差异（图</w:t>
      </w:r>
      <w:r>
        <w:t>7</w:t>
      </w:r>
      <w:r>
        <w:rPr>
          <w:rFonts w:cs="方正书宋_GBK" w:hint="eastAsia"/>
        </w:rPr>
        <w:t>）。从平均可达性水平来看，生活服务与交通设施明显高于其他类型，其中生活服务设施的平均值最高，交通设施次之，表明两类设施在空间供给上具有更强的普遍性与可获取性；购物设施处于中等水平；医疗与教育设施整体偏低，反映其服务供给在空间上具有更强的选择性；休闲设施亦处于较低水平，说明其覆盖范围与服务连续性相对有限。</w:t>
      </w:r>
    </w:p>
    <w:p w:rsidR="00B158E6" w:rsidRDefault="00B158E6">
      <w:pPr>
        <w:spacing w:line="278" w:lineRule="auto"/>
        <w:rPr>
          <w:rFonts w:ascii="方正书宋_GBK" w:cstheme="minorBidi"/>
        </w:rPr>
      </w:pPr>
      <w:r>
        <w:rPr>
          <w:rFonts w:cs="方正书宋_GBK" w:hint="eastAsia"/>
        </w:rPr>
        <w:t>从分布形态来看，各类设施在离散程度上存在显著差异。交通与生活服务设施的箱体范围较为集中，说明其可达性在不同区域之间差异相对较小，体现出较高的空间均衡性；医疗与教育设施的分布则呈现更明显的长尾特征，高值区域集中但低值区域广泛存在，表明其空间不均衡程度较高；购物与休闲设施则介于两者之间，其分布既包含一定范围的中等可达性区域，又存在局部高值与低值并存的情况。结合图</w:t>
      </w:r>
      <w:r>
        <w:t>6</w:t>
      </w:r>
      <w:r>
        <w:rPr>
          <w:rFonts w:cs="方正书宋_GBK" w:hint="eastAsia"/>
        </w:rPr>
        <w:t>可以进一步理解，这种统计差异正是由各类设施不同的空间组织方式所导致：网络型与高密度型设施更易形成均衡分布，而等级型与资源依赖型设施则更容易产生空间差异。</w:t>
      </w:r>
    </w:p>
    <w:p w:rsidR="00B158E6" w:rsidRDefault="00B158E6">
      <w:pPr>
        <w:spacing w:line="278" w:lineRule="auto"/>
        <w:jc w:val="distribute"/>
        <w:rPr>
          <w:rFonts w:cstheme="minorBidi"/>
        </w:rPr>
      </w:pPr>
      <w:r>
        <w:rPr>
          <w:rFonts w:cs="方正书宋_GBK" w:hint="eastAsia"/>
        </w:rPr>
        <w:t>综合来看，图</w:t>
      </w:r>
      <w:r>
        <w:t>7</w:t>
      </w:r>
      <w:r>
        <w:rPr>
          <w:rFonts w:cs="方正书宋_GBK" w:hint="eastAsia"/>
        </w:rPr>
        <w:t>所反映的统计结果并非对空间分布图的简单重复，而是对六类公共服务设施可达性差异的量化表达。不同设施类型在平均水平、箱体范围和上下须长度上呈现出明显差别，说明北京市公共服务供给并非均质分布，而是具有较强的类型分化特征。其中，交通与生活服务设施的平均可达性较高，同时箱体和上下须也相对较长，表明其在整体覆盖水平较高的基础上，仍存在较为明显的空间梯度和区域分化，即不同地区之间并非完全均衡，而是表现为由高到低的连续变化。相比之下，购物与休闲设施处于中等水平，</w:t>
      </w:r>
    </w:p>
    <w:p w:rsidR="00B158E6" w:rsidRDefault="009A1B3A">
      <w:pPr>
        <w:ind w:firstLine="0"/>
        <w:jc w:val="center"/>
        <w:rPr>
          <w:rFonts w:cstheme="minorBidi"/>
        </w:rPr>
      </w:pPr>
      <w:r w:rsidRPr="00C92DA1">
        <w:rPr>
          <w:rFonts w:cstheme="minorBidi"/>
          <w:noProof/>
        </w:rPr>
        <w:lastRenderedPageBreak/>
        <w:pict>
          <v:shape id="图片 39" o:spid="_x0000_i1064" type="#_x0000_t75" alt="田浩正中文图6" style="width:387pt;height:366pt;visibility:visible">
            <v:imagedata r:id="rId79" o:title=""/>
          </v:shape>
        </w:pict>
      </w:r>
    </w:p>
    <w:p w:rsidR="00B158E6" w:rsidRDefault="00B158E6">
      <w:pPr>
        <w:rPr>
          <w:rFonts w:cstheme="minorBidi"/>
          <w:sz w:val="10"/>
          <w:szCs w:val="10"/>
        </w:rPr>
      </w:pPr>
    </w:p>
    <w:p w:rsidR="00B158E6" w:rsidRDefault="00B158E6">
      <w:pPr>
        <w:ind w:firstLine="0"/>
        <w:jc w:val="center"/>
        <w:rPr>
          <w:rFonts w:cstheme="minorBidi"/>
          <w:sz w:val="18"/>
          <w:szCs w:val="18"/>
        </w:rPr>
      </w:pPr>
      <w:bookmarkStart w:id="8" w:name="OLE_LINK1"/>
      <w:bookmarkStart w:id="9" w:name="OLE_LINK2"/>
      <w:r>
        <w:rPr>
          <w:rFonts w:cs="方正书宋_GBK" w:hint="eastAsia"/>
          <w:sz w:val="18"/>
          <w:szCs w:val="18"/>
        </w:rPr>
        <w:t>图</w:t>
      </w:r>
      <w:r>
        <w:rPr>
          <w:sz w:val="18"/>
          <w:szCs w:val="18"/>
        </w:rPr>
        <w:t>6</w:t>
      </w:r>
      <w:bookmarkEnd w:id="8"/>
      <w:bookmarkEnd w:id="9"/>
      <w:r>
        <w:rPr>
          <w:sz w:val="18"/>
          <w:szCs w:val="18"/>
        </w:rPr>
        <w:t xml:space="preserve">  </w:t>
      </w:r>
      <w:r>
        <w:rPr>
          <w:rFonts w:cs="方正书宋_GBK" w:hint="eastAsia"/>
          <w:sz w:val="18"/>
          <w:szCs w:val="18"/>
        </w:rPr>
        <w:t>基于</w:t>
      </w:r>
      <w:r>
        <w:rPr>
          <w:sz w:val="18"/>
          <w:szCs w:val="18"/>
        </w:rPr>
        <w:t>MRGS2SFCA</w:t>
      </w:r>
      <w:r>
        <w:rPr>
          <w:rFonts w:cs="方正书宋_GBK" w:hint="eastAsia"/>
          <w:sz w:val="18"/>
          <w:szCs w:val="18"/>
        </w:rPr>
        <w:t>的北京市六类公共服务设施可达性空间分布图（</w:t>
      </w:r>
      <w:r>
        <w:rPr>
          <w:sz w:val="18"/>
          <w:szCs w:val="18"/>
        </w:rPr>
        <w:t>2026</w:t>
      </w:r>
      <w:r>
        <w:rPr>
          <w:rFonts w:cs="方正书宋_GBK" w:hint="eastAsia"/>
          <w:sz w:val="18"/>
          <w:szCs w:val="18"/>
        </w:rPr>
        <w:t>）</w:t>
      </w:r>
    </w:p>
    <w:p w:rsidR="00B158E6" w:rsidRDefault="00B158E6">
      <w:pPr>
        <w:ind w:firstLine="0"/>
        <w:jc w:val="center"/>
        <w:rPr>
          <w:rFonts w:cstheme="minorBidi"/>
          <w:sz w:val="18"/>
          <w:szCs w:val="18"/>
        </w:rPr>
      </w:pPr>
    </w:p>
    <w:p w:rsidR="00B158E6" w:rsidRDefault="00B158E6">
      <w:pPr>
        <w:rPr>
          <w:rFonts w:cstheme="minorBidi"/>
        </w:rPr>
      </w:pPr>
    </w:p>
    <w:p w:rsidR="00B158E6" w:rsidRDefault="009A1B3A">
      <w:pPr>
        <w:ind w:firstLine="0"/>
        <w:jc w:val="center"/>
        <w:rPr>
          <w:rFonts w:cstheme="minorBidi"/>
        </w:rPr>
      </w:pPr>
      <w:r w:rsidRPr="00C92DA1">
        <w:rPr>
          <w:rFonts w:cstheme="minorBidi"/>
          <w:noProof/>
        </w:rPr>
        <w:pict>
          <v:shape id="图片 40" o:spid="_x0000_i1065" type="#_x0000_t75" alt="田浩正中文图7" style="width:266.25pt;height:168pt;visibility:visible">
            <v:imagedata r:id="rId80" o:title=""/>
          </v:shape>
        </w:pict>
      </w:r>
    </w:p>
    <w:p w:rsidR="00B158E6" w:rsidRDefault="00B158E6">
      <w:pPr>
        <w:ind w:firstLine="0"/>
        <w:rPr>
          <w:rFonts w:cstheme="minorBidi"/>
          <w:sz w:val="10"/>
          <w:szCs w:val="10"/>
        </w:rPr>
      </w:pPr>
    </w:p>
    <w:p w:rsidR="00B158E6" w:rsidRDefault="00B158E6">
      <w:pPr>
        <w:ind w:firstLine="0"/>
        <w:jc w:val="center"/>
        <w:rPr>
          <w:rFonts w:cstheme="minorBidi"/>
          <w:sz w:val="18"/>
          <w:szCs w:val="18"/>
        </w:rPr>
      </w:pPr>
      <w:r>
        <w:rPr>
          <w:rFonts w:cs="方正书宋_GBK" w:hint="eastAsia"/>
          <w:sz w:val="18"/>
          <w:szCs w:val="18"/>
        </w:rPr>
        <w:t>图</w:t>
      </w:r>
      <w:r>
        <w:rPr>
          <w:sz w:val="18"/>
          <w:szCs w:val="18"/>
        </w:rPr>
        <w:t xml:space="preserve">7  </w:t>
      </w:r>
      <w:r>
        <w:rPr>
          <w:rFonts w:cs="方正书宋_GBK" w:hint="eastAsia"/>
          <w:sz w:val="18"/>
          <w:szCs w:val="18"/>
        </w:rPr>
        <w:t>北京市六类公共服务设施可达性分布特征图（</w:t>
      </w:r>
      <w:r>
        <w:rPr>
          <w:sz w:val="18"/>
          <w:szCs w:val="18"/>
        </w:rPr>
        <w:t>2026</w:t>
      </w:r>
      <w:r>
        <w:rPr>
          <w:rFonts w:cs="方正书宋_GBK" w:hint="eastAsia"/>
          <w:sz w:val="18"/>
          <w:szCs w:val="18"/>
        </w:rPr>
        <w:t>）</w:t>
      </w:r>
    </w:p>
    <w:p w:rsidR="00B158E6" w:rsidRDefault="00B158E6">
      <w:pPr>
        <w:spacing w:line="276" w:lineRule="auto"/>
        <w:ind w:firstLine="0"/>
        <w:rPr>
          <w:rFonts w:cstheme="minorBidi"/>
          <w:sz w:val="18"/>
          <w:szCs w:val="18"/>
        </w:rPr>
      </w:pPr>
      <w:r>
        <w:rPr>
          <w:rFonts w:cs="方正书宋_GBK" w:hint="eastAsia"/>
        </w:rPr>
        <w:lastRenderedPageBreak/>
        <w:t>分布形态介于前两类与医疗、教育之间，说明其空间组织更多依赖若干节点支撑，具有一定的集聚性与不均衡性。医疗与教育设施的平均可达性相对较低，且低值区间延伸较明显，反映出其服务供给在空间上更为集中，部分区域仍存在较强的可达性不足。由此可见，北京市公共服务体系整体呈现出基础性服务覆盖较广但内部仍有梯度差异，专业性服务则更集中、空间差异更突出的结构特征，这一结果也为后续从供给机制与空间优化角度展开分析提供了依据。</w:t>
      </w:r>
    </w:p>
    <w:p w:rsidR="00B158E6" w:rsidRDefault="00B158E6">
      <w:pPr>
        <w:pStyle w:val="3"/>
        <w:spacing w:line="276" w:lineRule="auto"/>
        <w:rPr>
          <w:rFonts w:cstheme="minorBidi"/>
          <w:b w:val="0"/>
          <w:bCs w:val="0"/>
        </w:rPr>
      </w:pPr>
      <w:r>
        <w:t xml:space="preserve">4  </w:t>
      </w:r>
      <w:r>
        <w:rPr>
          <w:rFonts w:cs="方正书宋_GBK" w:hint="eastAsia"/>
        </w:rPr>
        <w:t>讨论与结论</w:t>
      </w:r>
    </w:p>
    <w:p w:rsidR="00B158E6" w:rsidRDefault="00B158E6">
      <w:pPr>
        <w:spacing w:line="276" w:lineRule="auto"/>
        <w:rPr>
          <w:rFonts w:cstheme="minorBidi"/>
        </w:rPr>
      </w:pPr>
      <w:r>
        <w:rPr>
          <w:rFonts w:cs="方正书宋_GBK" w:hint="eastAsia"/>
        </w:rPr>
        <w:t>基于</w:t>
      </w:r>
      <w:r>
        <w:t>2026</w:t>
      </w:r>
      <w:r>
        <w:rPr>
          <w:rFonts w:cs="方正书宋_GBK" w:hint="eastAsia"/>
        </w:rPr>
        <w:t>年的数据分析，北</w:t>
      </w:r>
      <w:r>
        <w:rPr>
          <w:rFonts w:cs="方正书宋_GBK" w:hint="eastAsia"/>
          <w:spacing w:val="4"/>
        </w:rPr>
        <w:t>京市公共服务设施在空间上总体呈现显著的</w:t>
      </w:r>
      <w:r>
        <w:rPr>
          <w:rFonts w:ascii="方正书宋_GBK" w:cs="方正书宋_GBK" w:hint="eastAsia"/>
          <w:spacing w:val="4"/>
        </w:rPr>
        <w:t>“</w:t>
      </w:r>
      <w:r>
        <w:rPr>
          <w:rFonts w:cs="方正书宋_GBK" w:hint="eastAsia"/>
          <w:spacing w:val="4"/>
        </w:rPr>
        <w:t>中心集聚</w:t>
      </w:r>
      <w:r>
        <w:rPr>
          <w:spacing w:val="4"/>
        </w:rPr>
        <w:t>-</w:t>
      </w:r>
      <w:r>
        <w:rPr>
          <w:rFonts w:cs="方正书宋_GBK" w:hint="eastAsia"/>
          <w:spacing w:val="4"/>
        </w:rPr>
        <w:t>外围递减</w:t>
      </w:r>
      <w:r>
        <w:rPr>
          <w:rFonts w:ascii="方正书宋_GBK" w:cs="方正书宋_GBK" w:hint="eastAsia"/>
          <w:spacing w:val="4"/>
        </w:rPr>
        <w:t>”</w:t>
      </w:r>
      <w:r>
        <w:rPr>
          <w:rFonts w:cs="方正书宋_GBK" w:hint="eastAsia"/>
          <w:spacing w:val="4"/>
        </w:rPr>
        <w:t>格局，高覆盖、高可达性区域主要集中于东城区、西城区、朝阳区中部及海淀区南部等核心城区，而顺义、通州、大兴、房山及延庆、门头沟等外围区域则不同程度存在服务不足。这一格局与北京市长期形成的核心</w:t>
      </w:r>
      <w:r>
        <w:rPr>
          <w:spacing w:val="4"/>
        </w:rPr>
        <w:t>-</w:t>
      </w:r>
      <w:r>
        <w:rPr>
          <w:rFonts w:cs="方正书宋_GBK" w:hint="eastAsia"/>
          <w:spacing w:val="4"/>
        </w:rPr>
        <w:t>外围城市结构高度一致，反映出公共服务设施配置与人口密度、土地开发强度及功能分区之间存在显著耦合关系。进一步分析表明，六类设施虽均服从总体梯度结构，但其空间组织方式与形成机制存在明显差异：医疗与教育设施表现出较强的等级性和中心集聚特征，交通设施体现出较强的网络连续性，商业设施呈现多中心节点扩展格局，休闲设施分布相对离散，而生活服务设施则表现出高密度、广覆盖和较强的基层均衡性，说明北京市公共服务体系并非单一均质系统，而是由不同服务尺度、供给机制和功能属性共同塑造的复合结构。基于此，本文认为传统两步移动搜索法在固定阈值和统一服务半径条件下，难以准确刻画多类型设施在服务范围、空间吸引力和供给能力上的差异；相比之下，</w:t>
      </w:r>
      <w:r>
        <w:rPr>
          <w:spacing w:val="4"/>
        </w:rPr>
        <w:t>MRGS2SFCA</w:t>
      </w:r>
      <w:r>
        <w:rPr>
          <w:rFonts w:cs="方正书宋_GBK" w:hint="eastAsia"/>
          <w:spacing w:val="4"/>
        </w:rPr>
        <w:t>通过引入连续距离衰减、多尺度服务范围与分级权重，实现了不同设施在同一分析框架下的可比表达，更能真实反映超大城市内部公共服务供给的空间异质性及供需不匹配格局。总体来看，北京市公共服务体系呈现出</w:t>
      </w:r>
      <w:r>
        <w:rPr>
          <w:rFonts w:ascii="方正书宋_GBK" w:cs="方正书宋_GBK" w:hint="eastAsia"/>
          <w:spacing w:val="4"/>
        </w:rPr>
        <w:t>“</w:t>
      </w:r>
      <w:r>
        <w:rPr>
          <w:rFonts w:cs="方正书宋_GBK" w:hint="eastAsia"/>
          <w:spacing w:val="4"/>
        </w:rPr>
        <w:t>高频基础性服务覆盖相对较广，专业性与等级性服务空间差异更为突出</w:t>
      </w:r>
      <w:r>
        <w:rPr>
          <w:rFonts w:ascii="方正书宋_GBK" w:cs="方正书宋_GBK" w:hint="eastAsia"/>
          <w:spacing w:val="4"/>
        </w:rPr>
        <w:t>”</w:t>
      </w:r>
      <w:r>
        <w:rPr>
          <w:rFonts w:cs="方正书宋_GBK" w:hint="eastAsia"/>
          <w:spacing w:val="4"/>
        </w:rPr>
        <w:t>的结构特征，本文构建的分析框架不仅有助于揭示超大城市公共服务供给的空间分异规律，也可为北京市公共服务设施优化配</w:t>
      </w:r>
      <w:r>
        <w:rPr>
          <w:rFonts w:cs="方正书宋_GBK" w:hint="eastAsia"/>
        </w:rPr>
        <w:t>置、生活圈建设和精细化城市治理提供方法支撑与实证依据。</w:t>
      </w:r>
    </w:p>
    <w:p w:rsidR="00B158E6" w:rsidRDefault="00B158E6">
      <w:pPr>
        <w:rPr>
          <w:rFonts w:cstheme="minorBidi"/>
        </w:rPr>
      </w:pPr>
    </w:p>
    <w:p w:rsidR="00B158E6" w:rsidRDefault="00B158E6">
      <w:r>
        <w:rPr>
          <w:rFonts w:eastAsia="黑体" w:cs="黑体" w:hint="eastAsia"/>
        </w:rPr>
        <w:t>作者分工：</w:t>
      </w:r>
      <w:r>
        <w:rPr>
          <w:rFonts w:eastAsia="方正楷体_GBK" w:cs="方正楷体_GBK" w:hint="eastAsia"/>
          <w:kern w:val="0"/>
        </w:rPr>
        <w:t>田浩正收集数据并撰写了论文；蒋晓涵、阿部都拉</w:t>
      </w:r>
      <w:r>
        <w:rPr>
          <w:rFonts w:eastAsia="方正楷体_GBK"/>
          <w:kern w:val="0"/>
        </w:rPr>
        <w:t>·</w:t>
      </w:r>
      <w:r>
        <w:rPr>
          <w:rFonts w:eastAsia="方正楷体_GBK" w:cs="方正楷体_GBK" w:hint="eastAsia"/>
          <w:kern w:val="0"/>
        </w:rPr>
        <w:t>阿力木江验证了数据，并做了方法设计；张宁处理数据并撰写了论文的部分内容；王少华审核、指导、修改并完善了论文。</w:t>
      </w:r>
      <w:r>
        <w:t xml:space="preserve"> </w:t>
      </w:r>
    </w:p>
    <w:p w:rsidR="00B158E6" w:rsidRDefault="00B158E6" w:rsidP="009A1B3A">
      <w:pPr>
        <w:spacing w:beforeLines="30"/>
        <w:rPr>
          <w:rFonts w:eastAsia="黑体" w:cstheme="minorBidi"/>
        </w:rPr>
      </w:pPr>
      <w:r>
        <w:rPr>
          <w:rFonts w:eastAsia="黑体" w:cs="黑体" w:hint="eastAsia"/>
        </w:rPr>
        <w:t>致谢：</w:t>
      </w:r>
      <w:bookmarkStart w:id="10" w:name="OLE_LINK10"/>
      <w:r>
        <w:rPr>
          <w:rFonts w:eastAsia="方正楷体_GBK" w:cs="方正楷体_GBK" w:hint="eastAsia"/>
          <w:kern w:val="0"/>
        </w:rPr>
        <w:t>感谢住房城乡建设部历史文化遗产监测重点实验室对本研究的数据和技术支持。</w:t>
      </w:r>
      <w:bookmarkEnd w:id="10"/>
    </w:p>
    <w:p w:rsidR="00B158E6" w:rsidRDefault="00B158E6" w:rsidP="009A1B3A">
      <w:pPr>
        <w:spacing w:beforeLines="30"/>
        <w:rPr>
          <w:rFonts w:cstheme="minorBidi"/>
        </w:rPr>
      </w:pPr>
      <w:r>
        <w:rPr>
          <w:rFonts w:eastAsia="黑体" w:cs="黑体" w:hint="eastAsia"/>
        </w:rPr>
        <w:t>利益冲突声明：</w:t>
      </w:r>
      <w:r>
        <w:rPr>
          <w:rFonts w:eastAsia="方正楷体_GBK" w:cs="方正楷体_GBK" w:hint="eastAsia"/>
          <w:kern w:val="0"/>
        </w:rPr>
        <w:t>本研究不存在研究者以及与公开研究成果有关的利益冲突。</w:t>
      </w:r>
    </w:p>
    <w:p w:rsidR="00B158E6" w:rsidRDefault="00B158E6">
      <w:pPr>
        <w:pStyle w:val="5"/>
        <w:rPr>
          <w:rFonts w:eastAsia="黑体" w:cstheme="minorBidi"/>
          <w:b w:val="0"/>
          <w:bCs w:val="0"/>
          <w:sz w:val="20"/>
          <w:szCs w:val="20"/>
        </w:rPr>
      </w:pPr>
      <w:r>
        <w:rPr>
          <w:rFonts w:eastAsia="黑体" w:cs="黑体" w:hint="eastAsia"/>
          <w:b w:val="0"/>
          <w:bCs w:val="0"/>
          <w:sz w:val="20"/>
          <w:szCs w:val="20"/>
        </w:rPr>
        <w:t>参考文献</w:t>
      </w:r>
    </w:p>
    <w:p w:rsidR="00B158E6" w:rsidRDefault="00B158E6">
      <w:pPr>
        <w:pStyle w:val="af1"/>
        <w:numPr>
          <w:ilvl w:val="0"/>
          <w:numId w:val="7"/>
        </w:numPr>
        <w:spacing w:line="360" w:lineRule="exact"/>
        <w:ind w:left="420" w:hanging="420"/>
        <w:rPr>
          <w:rFonts w:ascii="Times New Roman" w:hAnsi="Times New Roman" w:cs="Times New Roman"/>
          <w:sz w:val="17"/>
          <w:szCs w:val="17"/>
        </w:rPr>
      </w:pPr>
      <w:r>
        <w:rPr>
          <w:rFonts w:ascii="Times New Roman" w:hAnsi="Times New Roman" w:cs="方正书宋_GBK" w:hint="eastAsia"/>
          <w:sz w:val="17"/>
          <w:szCs w:val="17"/>
        </w:rPr>
        <w:t>李扬</w:t>
      </w:r>
      <w:r>
        <w:rPr>
          <w:rFonts w:ascii="Times New Roman" w:hAnsi="Times New Roman" w:cs="Times New Roman"/>
          <w:sz w:val="17"/>
          <w:szCs w:val="17"/>
        </w:rPr>
        <w:t xml:space="preserve">, </w:t>
      </w:r>
      <w:r>
        <w:rPr>
          <w:rFonts w:ascii="Times New Roman" w:hAnsi="Times New Roman" w:cs="方正书宋_GBK" w:hint="eastAsia"/>
          <w:sz w:val="17"/>
          <w:szCs w:val="17"/>
        </w:rPr>
        <w:t>郭成玉</w:t>
      </w:r>
      <w:r>
        <w:rPr>
          <w:rFonts w:ascii="Times New Roman" w:hAnsi="Times New Roman" w:cs="Times New Roman"/>
          <w:sz w:val="17"/>
          <w:szCs w:val="17"/>
        </w:rPr>
        <w:t xml:space="preserve">, </w:t>
      </w:r>
      <w:r>
        <w:rPr>
          <w:rFonts w:ascii="Times New Roman" w:hAnsi="Times New Roman" w:cs="方正书宋_GBK" w:hint="eastAsia"/>
          <w:sz w:val="17"/>
          <w:szCs w:val="17"/>
        </w:rPr>
        <w:t>王磊</w:t>
      </w:r>
      <w:r>
        <w:rPr>
          <w:rFonts w:ascii="Times New Roman" w:hAnsi="Times New Roman" w:cs="Times New Roman"/>
          <w:sz w:val="17"/>
          <w:szCs w:val="17"/>
        </w:rPr>
        <w:t xml:space="preserve">. </w:t>
      </w:r>
      <w:r>
        <w:rPr>
          <w:rFonts w:ascii="Times New Roman" w:hAnsi="Times New Roman" w:cs="方正书宋_GBK" w:hint="eastAsia"/>
          <w:sz w:val="17"/>
          <w:szCs w:val="17"/>
        </w:rPr>
        <w:t>中国城市公共服务供给水平的空间格局及其影响因素</w:t>
      </w:r>
      <w:r>
        <w:rPr>
          <w:rFonts w:ascii="Times New Roman" w:hAnsi="Times New Roman" w:cs="Times New Roman"/>
          <w:sz w:val="17"/>
          <w:szCs w:val="17"/>
        </w:rPr>
        <w:t xml:space="preserve">[J]. </w:t>
      </w:r>
      <w:r>
        <w:rPr>
          <w:rFonts w:ascii="Times New Roman" w:hAnsi="Times New Roman" w:cs="方正书宋_GBK" w:hint="eastAsia"/>
          <w:sz w:val="17"/>
          <w:szCs w:val="17"/>
        </w:rPr>
        <w:t>科技导报</w:t>
      </w:r>
      <w:r>
        <w:rPr>
          <w:rFonts w:ascii="Times New Roman" w:hAnsi="Times New Roman" w:cs="Times New Roman"/>
          <w:sz w:val="17"/>
          <w:szCs w:val="17"/>
        </w:rPr>
        <w:t>, 2023, 41(16): 145–156.</w:t>
      </w:r>
    </w:p>
    <w:p w:rsidR="00B158E6" w:rsidRDefault="00B158E6">
      <w:pPr>
        <w:pStyle w:val="af1"/>
        <w:numPr>
          <w:ilvl w:val="0"/>
          <w:numId w:val="7"/>
        </w:numPr>
        <w:spacing w:line="360" w:lineRule="exact"/>
        <w:ind w:left="420" w:hanging="420"/>
        <w:rPr>
          <w:rFonts w:ascii="Times New Roman" w:hAnsi="Times New Roman" w:cs="Times New Roman"/>
          <w:sz w:val="17"/>
          <w:szCs w:val="17"/>
        </w:rPr>
      </w:pPr>
      <w:r>
        <w:rPr>
          <w:rFonts w:ascii="Times New Roman" w:hAnsi="Times New Roman" w:cs="方正书宋_GBK" w:hint="eastAsia"/>
          <w:spacing w:val="-2"/>
          <w:sz w:val="17"/>
          <w:szCs w:val="17"/>
        </w:rPr>
        <w:lastRenderedPageBreak/>
        <w:t>吴培培</w:t>
      </w:r>
      <w:r>
        <w:rPr>
          <w:rFonts w:ascii="Times New Roman" w:hAnsi="Times New Roman" w:cs="Times New Roman"/>
          <w:spacing w:val="-2"/>
          <w:sz w:val="17"/>
          <w:szCs w:val="17"/>
        </w:rPr>
        <w:t xml:space="preserve">, </w:t>
      </w:r>
      <w:r>
        <w:rPr>
          <w:rFonts w:ascii="Times New Roman" w:hAnsi="Times New Roman" w:cs="方正书宋_GBK" w:hint="eastAsia"/>
          <w:spacing w:val="-2"/>
          <w:sz w:val="17"/>
          <w:szCs w:val="17"/>
        </w:rPr>
        <w:t>朱小川</w:t>
      </w:r>
      <w:r>
        <w:rPr>
          <w:rFonts w:ascii="Times New Roman" w:hAnsi="Times New Roman" w:cs="Times New Roman"/>
          <w:spacing w:val="-2"/>
          <w:sz w:val="17"/>
          <w:szCs w:val="17"/>
        </w:rPr>
        <w:t xml:space="preserve">, </w:t>
      </w:r>
      <w:r>
        <w:rPr>
          <w:rFonts w:ascii="Times New Roman" w:hAnsi="Times New Roman" w:cs="方正书宋_GBK" w:hint="eastAsia"/>
          <w:spacing w:val="-2"/>
          <w:sz w:val="17"/>
          <w:szCs w:val="17"/>
        </w:rPr>
        <w:t>王伟</w:t>
      </w:r>
      <w:r>
        <w:rPr>
          <w:rFonts w:ascii="Times New Roman" w:hAnsi="Times New Roman" w:cs="Times New Roman"/>
          <w:spacing w:val="-2"/>
          <w:sz w:val="17"/>
          <w:szCs w:val="17"/>
        </w:rPr>
        <w:t xml:space="preserve">. </w:t>
      </w:r>
      <w:bookmarkStart w:id="11" w:name="OLE_LINK38"/>
      <w:r>
        <w:rPr>
          <w:rFonts w:ascii="Times New Roman" w:hAnsi="Times New Roman" w:cs="方正书宋_GBK" w:hint="eastAsia"/>
          <w:spacing w:val="-2"/>
          <w:sz w:val="17"/>
          <w:szCs w:val="17"/>
        </w:rPr>
        <w:t>上海市公共服务功能设施供需匹配研究</w:t>
      </w:r>
      <w:r>
        <w:rPr>
          <w:rFonts w:ascii="Times New Roman" w:hAnsi="Times New Roman" w:cs="Times New Roman"/>
          <w:spacing w:val="-2"/>
          <w:sz w:val="17"/>
          <w:szCs w:val="17"/>
        </w:rPr>
        <w:t>——</w:t>
      </w:r>
      <w:r>
        <w:rPr>
          <w:rFonts w:ascii="Times New Roman" w:hAnsi="Times New Roman" w:cs="方正书宋_GBK" w:hint="eastAsia"/>
          <w:spacing w:val="-2"/>
          <w:sz w:val="17"/>
          <w:szCs w:val="17"/>
        </w:rPr>
        <w:t>基于居民需求异质性视角的分析</w:t>
      </w:r>
      <w:bookmarkEnd w:id="11"/>
      <w:r>
        <w:rPr>
          <w:rFonts w:ascii="Times New Roman" w:hAnsi="Times New Roman" w:cs="Times New Roman"/>
          <w:spacing w:val="-2"/>
          <w:sz w:val="17"/>
          <w:szCs w:val="17"/>
        </w:rPr>
        <w:t xml:space="preserve">[J]. </w:t>
      </w:r>
      <w:r>
        <w:rPr>
          <w:rFonts w:ascii="Times New Roman" w:hAnsi="Times New Roman" w:cs="方正书宋_GBK" w:hint="eastAsia"/>
          <w:sz w:val="17"/>
          <w:szCs w:val="17"/>
        </w:rPr>
        <w:t>城市问题</w:t>
      </w:r>
      <w:r>
        <w:rPr>
          <w:rFonts w:ascii="Times New Roman" w:hAnsi="Times New Roman" w:cs="Times New Roman"/>
          <w:sz w:val="17"/>
          <w:szCs w:val="17"/>
        </w:rPr>
        <w:t>, 2023(4): 87–95.</w:t>
      </w:r>
    </w:p>
    <w:p w:rsidR="00B158E6" w:rsidRDefault="00B158E6">
      <w:pPr>
        <w:pStyle w:val="af1"/>
        <w:numPr>
          <w:ilvl w:val="0"/>
          <w:numId w:val="7"/>
        </w:numPr>
        <w:spacing w:line="360" w:lineRule="exact"/>
        <w:ind w:left="420" w:hanging="420"/>
        <w:rPr>
          <w:rFonts w:ascii="Times New Roman" w:hAnsi="Times New Roman" w:cs="Times New Roman"/>
          <w:sz w:val="17"/>
          <w:szCs w:val="17"/>
        </w:rPr>
      </w:pPr>
      <w:r>
        <w:rPr>
          <w:rFonts w:ascii="Times New Roman" w:hAnsi="Times New Roman" w:cs="Times New Roman"/>
          <w:sz w:val="17"/>
          <w:szCs w:val="17"/>
        </w:rPr>
        <w:t>Bennett, J., Iossa, E. Building and managing facilities for public services [J].</w:t>
      </w:r>
      <w:r>
        <w:rPr>
          <w:rFonts w:ascii="Times New Roman" w:hAnsi="Times New Roman" w:cs="Times New Roman"/>
          <w:i/>
          <w:iCs/>
          <w:sz w:val="17"/>
          <w:szCs w:val="17"/>
        </w:rPr>
        <w:t xml:space="preserve"> Journal of Public Economics</w:t>
      </w:r>
      <w:r>
        <w:rPr>
          <w:rFonts w:ascii="Times New Roman" w:hAnsi="Times New Roman" w:cs="Times New Roman"/>
          <w:sz w:val="17"/>
          <w:szCs w:val="17"/>
        </w:rPr>
        <w:t>, 2006, 90(10–11): 2143</w:t>
      </w:r>
      <w:bookmarkStart w:id="12" w:name="OLE_LINK28"/>
      <w:r>
        <w:rPr>
          <w:rFonts w:ascii="Times New Roman" w:hAnsi="Times New Roman" w:cs="Times New Roman"/>
          <w:sz w:val="17"/>
          <w:szCs w:val="17"/>
        </w:rPr>
        <w:t>–</w:t>
      </w:r>
      <w:bookmarkEnd w:id="12"/>
      <w:r>
        <w:rPr>
          <w:rFonts w:ascii="Times New Roman" w:hAnsi="Times New Roman" w:cs="Times New Roman"/>
          <w:sz w:val="17"/>
          <w:szCs w:val="17"/>
        </w:rPr>
        <w:t>2160.</w:t>
      </w:r>
    </w:p>
    <w:p w:rsidR="00B158E6" w:rsidRDefault="00B158E6">
      <w:pPr>
        <w:pStyle w:val="af1"/>
        <w:numPr>
          <w:ilvl w:val="0"/>
          <w:numId w:val="7"/>
        </w:numPr>
        <w:spacing w:line="360" w:lineRule="exact"/>
        <w:ind w:left="420" w:hanging="420"/>
        <w:rPr>
          <w:rFonts w:ascii="Times New Roman" w:hAnsi="Times New Roman" w:cs="Times New Roman"/>
          <w:sz w:val="17"/>
          <w:szCs w:val="17"/>
        </w:rPr>
      </w:pPr>
      <w:r>
        <w:rPr>
          <w:rFonts w:ascii="Times New Roman" w:hAnsi="Times New Roman" w:cs="方正书宋_GBK" w:hint="eastAsia"/>
          <w:sz w:val="17"/>
          <w:szCs w:val="17"/>
        </w:rPr>
        <w:t>高旸</w:t>
      </w:r>
      <w:r>
        <w:rPr>
          <w:rFonts w:ascii="Times New Roman" w:hAnsi="Times New Roman" w:cs="Times New Roman"/>
          <w:sz w:val="17"/>
          <w:szCs w:val="17"/>
        </w:rPr>
        <w:t xml:space="preserve">. </w:t>
      </w:r>
      <w:r>
        <w:rPr>
          <w:rFonts w:ascii="Times New Roman" w:hAnsi="Times New Roman" w:cs="方正书宋_GBK" w:hint="eastAsia"/>
          <w:sz w:val="17"/>
          <w:szCs w:val="17"/>
        </w:rPr>
        <w:t>基本公共卫生服务供给对消费升级的影响研究</w:t>
      </w:r>
      <w:r>
        <w:rPr>
          <w:rFonts w:ascii="Times New Roman" w:hAnsi="Times New Roman" w:cs="Times New Roman"/>
          <w:sz w:val="17"/>
          <w:szCs w:val="17"/>
        </w:rPr>
        <w:t xml:space="preserve">[D]. </w:t>
      </w:r>
      <w:r>
        <w:rPr>
          <w:rFonts w:ascii="Times New Roman" w:hAnsi="Times New Roman" w:cs="方正书宋_GBK" w:hint="eastAsia"/>
          <w:sz w:val="17"/>
          <w:szCs w:val="17"/>
        </w:rPr>
        <w:t>武汉</w:t>
      </w:r>
      <w:r>
        <w:rPr>
          <w:rFonts w:ascii="Times New Roman" w:hAnsi="Times New Roman" w:cs="Times New Roman"/>
          <w:sz w:val="17"/>
          <w:szCs w:val="17"/>
        </w:rPr>
        <w:t xml:space="preserve">: </w:t>
      </w:r>
      <w:r>
        <w:rPr>
          <w:rFonts w:ascii="Times New Roman" w:hAnsi="Times New Roman" w:cs="方正书宋_GBK" w:hint="eastAsia"/>
          <w:sz w:val="17"/>
          <w:szCs w:val="17"/>
        </w:rPr>
        <w:t>华中师范大学</w:t>
      </w:r>
      <w:r>
        <w:rPr>
          <w:rFonts w:ascii="Times New Roman" w:hAnsi="Times New Roman" w:cs="Times New Roman"/>
          <w:sz w:val="17"/>
          <w:szCs w:val="17"/>
        </w:rPr>
        <w:t>, 2025.</w:t>
      </w:r>
    </w:p>
    <w:p w:rsidR="00B158E6" w:rsidRDefault="00B158E6">
      <w:pPr>
        <w:pStyle w:val="af1"/>
        <w:numPr>
          <w:ilvl w:val="0"/>
          <w:numId w:val="7"/>
        </w:numPr>
        <w:spacing w:line="360" w:lineRule="exact"/>
        <w:ind w:left="420" w:hanging="420"/>
        <w:rPr>
          <w:rFonts w:ascii="Times New Roman" w:hAnsi="Times New Roman" w:cs="Times New Roman"/>
          <w:sz w:val="17"/>
          <w:szCs w:val="17"/>
        </w:rPr>
      </w:pPr>
      <w:r>
        <w:rPr>
          <w:rFonts w:ascii="Times New Roman" w:hAnsi="Times New Roman" w:cs="方正书宋_GBK" w:hint="eastAsia"/>
          <w:sz w:val="17"/>
          <w:szCs w:val="17"/>
        </w:rPr>
        <w:t>魏新月</w:t>
      </w:r>
      <w:r>
        <w:rPr>
          <w:rFonts w:ascii="Times New Roman" w:hAnsi="Times New Roman" w:cs="Times New Roman"/>
          <w:sz w:val="17"/>
          <w:szCs w:val="17"/>
        </w:rPr>
        <w:t xml:space="preserve">, </w:t>
      </w:r>
      <w:r>
        <w:rPr>
          <w:rFonts w:ascii="Times New Roman" w:hAnsi="Times New Roman" w:cs="方正书宋_GBK" w:hint="eastAsia"/>
          <w:sz w:val="17"/>
          <w:szCs w:val="17"/>
        </w:rPr>
        <w:t>田伟腾</w:t>
      </w:r>
      <w:r>
        <w:rPr>
          <w:rFonts w:ascii="Times New Roman" w:hAnsi="Times New Roman" w:cs="Times New Roman"/>
          <w:sz w:val="17"/>
          <w:szCs w:val="17"/>
        </w:rPr>
        <w:t xml:space="preserve">. </w:t>
      </w:r>
      <w:r>
        <w:rPr>
          <w:rFonts w:ascii="Times New Roman" w:hAnsi="Times New Roman" w:cs="方正书宋_GBK" w:hint="eastAsia"/>
          <w:sz w:val="17"/>
          <w:szCs w:val="17"/>
        </w:rPr>
        <w:t>城市公共服务设施空间布局、人才流入与城市空间效率</w:t>
      </w:r>
      <w:r>
        <w:rPr>
          <w:rFonts w:ascii="Times New Roman" w:hAnsi="Times New Roman" w:cs="Times New Roman"/>
          <w:sz w:val="17"/>
          <w:szCs w:val="17"/>
        </w:rPr>
        <w:t xml:space="preserve">[J]. </w:t>
      </w:r>
      <w:r>
        <w:rPr>
          <w:rFonts w:ascii="Times New Roman" w:hAnsi="Times New Roman" w:cs="方正书宋_GBK" w:hint="eastAsia"/>
          <w:sz w:val="17"/>
          <w:szCs w:val="17"/>
        </w:rPr>
        <w:t>统计与信息论坛</w:t>
      </w:r>
      <w:r>
        <w:rPr>
          <w:rFonts w:ascii="Times New Roman" w:hAnsi="Times New Roman" w:cs="Times New Roman"/>
          <w:sz w:val="17"/>
          <w:szCs w:val="17"/>
        </w:rPr>
        <w:t>, 2025, 40(4): 115–128.</w:t>
      </w:r>
    </w:p>
    <w:p w:rsidR="00B158E6" w:rsidRDefault="00B158E6">
      <w:pPr>
        <w:pStyle w:val="af1"/>
        <w:numPr>
          <w:ilvl w:val="0"/>
          <w:numId w:val="7"/>
        </w:numPr>
        <w:spacing w:line="360" w:lineRule="exact"/>
        <w:ind w:left="420" w:hanging="420"/>
        <w:rPr>
          <w:rFonts w:ascii="Times New Roman" w:hAnsi="Times New Roman" w:cs="Times New Roman"/>
          <w:sz w:val="17"/>
          <w:szCs w:val="17"/>
        </w:rPr>
      </w:pPr>
      <w:r>
        <w:rPr>
          <w:rFonts w:ascii="Times New Roman" w:hAnsi="Times New Roman" w:cs="方正书宋_GBK" w:hint="eastAsia"/>
          <w:sz w:val="17"/>
          <w:szCs w:val="17"/>
        </w:rPr>
        <w:t>赵美风</w:t>
      </w:r>
      <w:r>
        <w:rPr>
          <w:rFonts w:ascii="Times New Roman" w:hAnsi="Times New Roman" w:cs="Times New Roman"/>
          <w:sz w:val="17"/>
          <w:szCs w:val="17"/>
        </w:rPr>
        <w:t xml:space="preserve">, </w:t>
      </w:r>
      <w:r>
        <w:rPr>
          <w:rFonts w:ascii="Times New Roman" w:hAnsi="Times New Roman" w:cs="方正书宋_GBK" w:hint="eastAsia"/>
          <w:sz w:val="17"/>
          <w:szCs w:val="17"/>
        </w:rPr>
        <w:t>张蓝青</w:t>
      </w:r>
      <w:r>
        <w:rPr>
          <w:rFonts w:ascii="Times New Roman" w:hAnsi="Times New Roman" w:cs="Times New Roman"/>
          <w:sz w:val="17"/>
          <w:szCs w:val="17"/>
        </w:rPr>
        <w:t xml:space="preserve">, </w:t>
      </w:r>
      <w:r>
        <w:rPr>
          <w:rFonts w:ascii="Times New Roman" w:hAnsi="Times New Roman" w:cs="方正书宋_GBK" w:hint="eastAsia"/>
          <w:sz w:val="17"/>
          <w:szCs w:val="17"/>
        </w:rPr>
        <w:t>汪德根</w:t>
      </w:r>
      <w:r>
        <w:rPr>
          <w:rFonts w:ascii="Times New Roman" w:hAnsi="Times New Roman" w:cs="Times New Roman"/>
          <w:sz w:val="17"/>
          <w:szCs w:val="17"/>
        </w:rPr>
        <w:t xml:space="preserve">. </w:t>
      </w:r>
      <w:bookmarkStart w:id="13" w:name="OLE_LINK39"/>
      <w:r>
        <w:rPr>
          <w:rFonts w:ascii="Times New Roman" w:hAnsi="Times New Roman" w:cs="方正书宋_GBK" w:hint="eastAsia"/>
          <w:sz w:val="17"/>
          <w:szCs w:val="17"/>
        </w:rPr>
        <w:t>生活圈视角下城市公共服务设施配置分异及影响因素</w:t>
      </w:r>
      <w:r>
        <w:rPr>
          <w:rFonts w:ascii="Times New Roman" w:hAnsi="Times New Roman" w:cs="Times New Roman"/>
          <w:sz w:val="17"/>
          <w:szCs w:val="17"/>
        </w:rPr>
        <w:t>——</w:t>
      </w:r>
      <w:r>
        <w:rPr>
          <w:rFonts w:ascii="Times New Roman" w:hAnsi="Times New Roman" w:cs="方正书宋_GBK" w:hint="eastAsia"/>
          <w:sz w:val="17"/>
          <w:szCs w:val="17"/>
        </w:rPr>
        <w:t>基于京津冀地区不同规模城市比较</w:t>
      </w:r>
      <w:bookmarkEnd w:id="13"/>
      <w:r>
        <w:rPr>
          <w:rFonts w:ascii="Times New Roman" w:hAnsi="Times New Roman" w:cs="Times New Roman"/>
          <w:sz w:val="17"/>
          <w:szCs w:val="17"/>
        </w:rPr>
        <w:t xml:space="preserve">[J]. </w:t>
      </w:r>
      <w:r>
        <w:rPr>
          <w:rFonts w:ascii="Times New Roman" w:hAnsi="Times New Roman" w:cs="方正书宋_GBK" w:hint="eastAsia"/>
          <w:sz w:val="17"/>
          <w:szCs w:val="17"/>
        </w:rPr>
        <w:t>城市发展研究</w:t>
      </w:r>
      <w:r>
        <w:rPr>
          <w:rFonts w:ascii="Times New Roman" w:hAnsi="Times New Roman" w:cs="Times New Roman"/>
          <w:sz w:val="17"/>
          <w:szCs w:val="17"/>
        </w:rPr>
        <w:t>, 2024, 31(10): 77–86+107.</w:t>
      </w:r>
    </w:p>
    <w:p w:rsidR="00B158E6" w:rsidRDefault="00B158E6">
      <w:pPr>
        <w:pStyle w:val="af1"/>
        <w:numPr>
          <w:ilvl w:val="0"/>
          <w:numId w:val="7"/>
        </w:numPr>
        <w:spacing w:line="360" w:lineRule="exact"/>
        <w:ind w:left="420" w:hanging="420"/>
        <w:rPr>
          <w:rFonts w:ascii="Times New Roman" w:hAnsi="Times New Roman" w:cs="Times New Roman"/>
          <w:sz w:val="17"/>
          <w:szCs w:val="17"/>
        </w:rPr>
      </w:pPr>
      <w:r>
        <w:rPr>
          <w:rFonts w:ascii="Times New Roman" w:hAnsi="Times New Roman" w:cs="Times New Roman"/>
          <w:sz w:val="17"/>
          <w:szCs w:val="17"/>
        </w:rPr>
        <w:t xml:space="preserve">Liang, H. J., Wang, S. H., Li, H. L., </w:t>
      </w:r>
      <w:r>
        <w:rPr>
          <w:rFonts w:ascii="Times New Roman" w:hAnsi="Times New Roman" w:cs="Times New Roman"/>
          <w:i/>
          <w:iCs/>
          <w:sz w:val="17"/>
          <w:szCs w:val="17"/>
        </w:rPr>
        <w:t>et al</w:t>
      </w:r>
      <w:r>
        <w:rPr>
          <w:rFonts w:ascii="Times New Roman" w:hAnsi="Times New Roman" w:cs="Times New Roman"/>
          <w:sz w:val="17"/>
          <w:szCs w:val="17"/>
        </w:rPr>
        <w:t xml:space="preserve">. </w:t>
      </w:r>
      <w:bookmarkStart w:id="14" w:name="OLE_LINK29"/>
      <w:r>
        <w:rPr>
          <w:rFonts w:ascii="Times New Roman" w:hAnsi="Times New Roman" w:cs="Times New Roman"/>
          <w:sz w:val="17"/>
          <w:szCs w:val="17"/>
        </w:rPr>
        <w:t>Sponet: solve spatial optimization problem using deep reinforc</w:t>
      </w:r>
      <w:r>
        <w:rPr>
          <w:rFonts w:ascii="Times New Roman" w:hAnsi="Times New Roman" w:cs="Times New Roman"/>
          <w:sz w:val="17"/>
          <w:szCs w:val="17"/>
        </w:rPr>
        <w:t>e</w:t>
      </w:r>
      <w:r>
        <w:rPr>
          <w:rFonts w:ascii="Times New Roman" w:hAnsi="Times New Roman" w:cs="Times New Roman"/>
          <w:sz w:val="17"/>
          <w:szCs w:val="17"/>
        </w:rPr>
        <w:t>ment learning for urban spatial decision analysis</w:t>
      </w:r>
      <w:bookmarkEnd w:id="14"/>
      <w:r>
        <w:rPr>
          <w:rFonts w:ascii="Times New Roman" w:hAnsi="Times New Roman" w:cs="Times New Roman"/>
          <w:sz w:val="17"/>
          <w:szCs w:val="17"/>
        </w:rPr>
        <w:t xml:space="preserve"> [J]. </w:t>
      </w:r>
      <w:r>
        <w:rPr>
          <w:rFonts w:ascii="Times New Roman" w:hAnsi="Times New Roman" w:cs="Times New Roman"/>
          <w:i/>
          <w:iCs/>
          <w:sz w:val="17"/>
          <w:szCs w:val="17"/>
        </w:rPr>
        <w:t>International Journal of Digital Earth</w:t>
      </w:r>
      <w:r>
        <w:rPr>
          <w:rFonts w:ascii="Times New Roman" w:hAnsi="Times New Roman" w:cs="Times New Roman"/>
          <w:sz w:val="17"/>
          <w:szCs w:val="17"/>
        </w:rPr>
        <w:t xml:space="preserve">, 2024, 17(1): 2299211. </w:t>
      </w:r>
    </w:p>
    <w:p w:rsidR="00B158E6" w:rsidRDefault="00B158E6">
      <w:pPr>
        <w:pStyle w:val="af2"/>
        <w:numPr>
          <w:ilvl w:val="0"/>
          <w:numId w:val="7"/>
        </w:numPr>
        <w:spacing w:line="360" w:lineRule="exact"/>
        <w:ind w:left="420" w:hanging="420"/>
        <w:rPr>
          <w:sz w:val="17"/>
          <w:szCs w:val="17"/>
        </w:rPr>
      </w:pPr>
      <w:r>
        <w:rPr>
          <w:rFonts w:cs="方正书宋_GBK" w:hint="eastAsia"/>
          <w:sz w:val="17"/>
          <w:szCs w:val="17"/>
        </w:rPr>
        <w:t>陈国强</w:t>
      </w:r>
      <w:r>
        <w:rPr>
          <w:sz w:val="17"/>
          <w:szCs w:val="17"/>
        </w:rPr>
        <w:t xml:space="preserve">. </w:t>
      </w:r>
      <w:r>
        <w:rPr>
          <w:rFonts w:cs="方正书宋_GBK" w:hint="eastAsia"/>
          <w:sz w:val="17"/>
          <w:szCs w:val="17"/>
        </w:rPr>
        <w:t>基于</w:t>
      </w:r>
      <w:r>
        <w:rPr>
          <w:sz w:val="17"/>
          <w:szCs w:val="17"/>
        </w:rPr>
        <w:t>MCLP</w:t>
      </w:r>
      <w:r>
        <w:rPr>
          <w:rFonts w:cs="方正书宋_GBK" w:hint="eastAsia"/>
          <w:sz w:val="17"/>
          <w:szCs w:val="17"/>
        </w:rPr>
        <w:t>模型构建南宁市</w:t>
      </w:r>
      <w:r>
        <w:rPr>
          <w:sz w:val="17"/>
          <w:szCs w:val="17"/>
        </w:rPr>
        <w:t>AED</w:t>
      </w:r>
      <w:r>
        <w:rPr>
          <w:rFonts w:cs="方正书宋_GBK" w:hint="eastAsia"/>
          <w:sz w:val="17"/>
          <w:szCs w:val="17"/>
        </w:rPr>
        <w:t>配置方案及验证</w:t>
      </w:r>
      <w:r>
        <w:rPr>
          <w:sz w:val="17"/>
          <w:szCs w:val="17"/>
        </w:rPr>
        <w:t xml:space="preserve">[D]. </w:t>
      </w:r>
      <w:r>
        <w:rPr>
          <w:rFonts w:cs="方正书宋_GBK" w:hint="eastAsia"/>
          <w:sz w:val="17"/>
          <w:szCs w:val="17"/>
        </w:rPr>
        <w:t>南宁</w:t>
      </w:r>
      <w:r>
        <w:rPr>
          <w:sz w:val="17"/>
          <w:szCs w:val="17"/>
        </w:rPr>
        <w:t xml:space="preserve">: </w:t>
      </w:r>
      <w:r>
        <w:rPr>
          <w:rFonts w:cs="方正书宋_GBK" w:hint="eastAsia"/>
          <w:sz w:val="17"/>
          <w:szCs w:val="17"/>
        </w:rPr>
        <w:t>广西医科大学</w:t>
      </w:r>
      <w:r>
        <w:rPr>
          <w:sz w:val="17"/>
          <w:szCs w:val="17"/>
        </w:rPr>
        <w:t>, 2025.</w:t>
      </w:r>
    </w:p>
    <w:p w:rsidR="00B158E6" w:rsidRDefault="00B158E6">
      <w:pPr>
        <w:pStyle w:val="af2"/>
        <w:numPr>
          <w:ilvl w:val="0"/>
          <w:numId w:val="7"/>
        </w:numPr>
        <w:spacing w:line="360" w:lineRule="exact"/>
        <w:ind w:left="420" w:hanging="420"/>
        <w:rPr>
          <w:sz w:val="17"/>
          <w:szCs w:val="17"/>
        </w:rPr>
      </w:pPr>
      <w:r>
        <w:rPr>
          <w:rFonts w:cs="方正书宋_GBK" w:hint="eastAsia"/>
          <w:sz w:val="17"/>
          <w:szCs w:val="17"/>
        </w:rPr>
        <w:t>徐国淞</w:t>
      </w:r>
      <w:r>
        <w:rPr>
          <w:sz w:val="17"/>
          <w:szCs w:val="17"/>
        </w:rPr>
        <w:t xml:space="preserve">. </w:t>
      </w:r>
      <w:bookmarkStart w:id="15" w:name="OLE_LINK40"/>
      <w:r>
        <w:rPr>
          <w:rFonts w:cs="方正书宋_GBK" w:hint="eastAsia"/>
          <w:sz w:val="17"/>
          <w:szCs w:val="17"/>
        </w:rPr>
        <w:t>基于地理信息系统的辽宁省生态系统服务空间异质及驱动因素分析</w:t>
      </w:r>
      <w:bookmarkEnd w:id="15"/>
      <w:r>
        <w:rPr>
          <w:sz w:val="17"/>
          <w:szCs w:val="17"/>
        </w:rPr>
        <w:t xml:space="preserve">[J]. </w:t>
      </w:r>
      <w:r>
        <w:rPr>
          <w:rFonts w:cs="方正书宋_GBK" w:hint="eastAsia"/>
          <w:sz w:val="17"/>
          <w:szCs w:val="17"/>
        </w:rPr>
        <w:t>北斗与空间信息应用技术</w:t>
      </w:r>
      <w:r>
        <w:rPr>
          <w:sz w:val="17"/>
          <w:szCs w:val="17"/>
        </w:rPr>
        <w:t>, 2025(6): 16</w:t>
      </w:r>
      <w:bookmarkStart w:id="16" w:name="OLE_LINK9"/>
      <w:r>
        <w:rPr>
          <w:sz w:val="17"/>
          <w:szCs w:val="17"/>
        </w:rPr>
        <w:t>–</w:t>
      </w:r>
      <w:bookmarkEnd w:id="16"/>
      <w:r>
        <w:rPr>
          <w:sz w:val="17"/>
          <w:szCs w:val="17"/>
        </w:rPr>
        <w:t>20.</w:t>
      </w:r>
    </w:p>
    <w:p w:rsidR="00B158E6" w:rsidRDefault="00B158E6">
      <w:pPr>
        <w:pStyle w:val="af2"/>
        <w:numPr>
          <w:ilvl w:val="0"/>
          <w:numId w:val="7"/>
        </w:numPr>
        <w:spacing w:line="360" w:lineRule="exact"/>
        <w:ind w:left="420" w:hanging="420"/>
        <w:rPr>
          <w:sz w:val="17"/>
          <w:szCs w:val="17"/>
        </w:rPr>
      </w:pPr>
      <w:r>
        <w:rPr>
          <w:rFonts w:cs="方正书宋_GBK" w:hint="eastAsia"/>
          <w:sz w:val="17"/>
          <w:szCs w:val="17"/>
        </w:rPr>
        <w:t>钟耳顺</w:t>
      </w:r>
      <w:r>
        <w:rPr>
          <w:sz w:val="17"/>
          <w:szCs w:val="17"/>
        </w:rPr>
        <w:t xml:space="preserve">. </w:t>
      </w:r>
      <w:r>
        <w:rPr>
          <w:rFonts w:cs="方正书宋_GBK" w:hint="eastAsia"/>
          <w:sz w:val="17"/>
          <w:szCs w:val="17"/>
        </w:rPr>
        <w:t>深度地图</w:t>
      </w:r>
      <w:r>
        <w:rPr>
          <w:spacing w:val="-8"/>
          <w:sz w:val="17"/>
          <w:szCs w:val="17"/>
        </w:rPr>
        <w:t>——</w:t>
      </w:r>
      <w:r>
        <w:rPr>
          <w:rFonts w:cs="方正书宋_GBK" w:hint="eastAsia"/>
          <w:sz w:val="17"/>
          <w:szCs w:val="17"/>
        </w:rPr>
        <w:t>论地图学与神经科学的结合</w:t>
      </w:r>
      <w:r>
        <w:rPr>
          <w:sz w:val="17"/>
          <w:szCs w:val="17"/>
        </w:rPr>
        <w:t xml:space="preserve">[J]. </w:t>
      </w:r>
      <w:r>
        <w:rPr>
          <w:rFonts w:cs="方正书宋_GBK" w:hint="eastAsia"/>
          <w:sz w:val="17"/>
          <w:szCs w:val="17"/>
        </w:rPr>
        <w:t>武汉大学学报</w:t>
      </w:r>
      <w:r>
        <w:rPr>
          <w:sz w:val="17"/>
          <w:szCs w:val="17"/>
        </w:rPr>
        <w:t>(</w:t>
      </w:r>
      <w:r>
        <w:rPr>
          <w:rFonts w:cs="方正书宋_GBK" w:hint="eastAsia"/>
          <w:sz w:val="17"/>
          <w:szCs w:val="17"/>
        </w:rPr>
        <w:t>信息科学版</w:t>
      </w:r>
      <w:r>
        <w:rPr>
          <w:sz w:val="17"/>
          <w:szCs w:val="17"/>
        </w:rPr>
        <w:t xml:space="preserve">), 2022, 47(12): 1988–2002. </w:t>
      </w:r>
    </w:p>
    <w:p w:rsidR="00B158E6" w:rsidRDefault="00B158E6">
      <w:pPr>
        <w:pStyle w:val="af2"/>
        <w:numPr>
          <w:ilvl w:val="0"/>
          <w:numId w:val="7"/>
        </w:numPr>
        <w:spacing w:line="360" w:lineRule="exact"/>
        <w:ind w:left="420" w:hanging="420"/>
        <w:rPr>
          <w:sz w:val="17"/>
          <w:szCs w:val="17"/>
        </w:rPr>
      </w:pPr>
      <w:r>
        <w:rPr>
          <w:rFonts w:cs="方正书宋_GBK" w:hint="eastAsia"/>
          <w:sz w:val="17"/>
          <w:szCs w:val="17"/>
        </w:rPr>
        <w:t>常明园</w:t>
      </w:r>
      <w:r>
        <w:rPr>
          <w:sz w:val="17"/>
          <w:szCs w:val="17"/>
        </w:rPr>
        <w:t xml:space="preserve">. </w:t>
      </w:r>
      <w:r>
        <w:rPr>
          <w:rFonts w:cs="方正书宋_GBK" w:hint="eastAsia"/>
          <w:sz w:val="17"/>
          <w:szCs w:val="17"/>
        </w:rPr>
        <w:t>基于公平正义视角的郑州市核心区公共服务设施空间布局及驱动因素研究</w:t>
      </w:r>
      <w:r>
        <w:rPr>
          <w:sz w:val="17"/>
          <w:szCs w:val="17"/>
        </w:rPr>
        <w:t xml:space="preserve">[D]. </w:t>
      </w:r>
      <w:r>
        <w:rPr>
          <w:rFonts w:cs="方正书宋_GBK" w:hint="eastAsia"/>
          <w:sz w:val="17"/>
          <w:szCs w:val="17"/>
        </w:rPr>
        <w:t>郑州</w:t>
      </w:r>
      <w:r>
        <w:rPr>
          <w:sz w:val="17"/>
          <w:szCs w:val="17"/>
        </w:rPr>
        <w:t xml:space="preserve">: </w:t>
      </w:r>
      <w:r>
        <w:rPr>
          <w:rFonts w:cs="方正书宋_GBK" w:hint="eastAsia"/>
          <w:sz w:val="17"/>
          <w:szCs w:val="17"/>
        </w:rPr>
        <w:t>河南农业大学</w:t>
      </w:r>
      <w:r>
        <w:rPr>
          <w:sz w:val="17"/>
          <w:szCs w:val="17"/>
        </w:rPr>
        <w:t>, 2024.</w:t>
      </w:r>
    </w:p>
    <w:p w:rsidR="00B158E6" w:rsidRDefault="00B158E6">
      <w:pPr>
        <w:pStyle w:val="af2"/>
        <w:numPr>
          <w:ilvl w:val="0"/>
          <w:numId w:val="7"/>
        </w:numPr>
        <w:spacing w:line="360" w:lineRule="exact"/>
        <w:ind w:left="420" w:hanging="420"/>
        <w:rPr>
          <w:sz w:val="17"/>
          <w:szCs w:val="17"/>
        </w:rPr>
      </w:pPr>
      <w:r>
        <w:rPr>
          <w:rFonts w:cs="方正书宋_GBK" w:hint="eastAsia"/>
          <w:sz w:val="17"/>
          <w:szCs w:val="17"/>
        </w:rPr>
        <w:t>李化英</w:t>
      </w:r>
      <w:r>
        <w:rPr>
          <w:sz w:val="17"/>
          <w:szCs w:val="17"/>
        </w:rPr>
        <w:t xml:space="preserve">, </w:t>
      </w:r>
      <w:r>
        <w:rPr>
          <w:rFonts w:cs="方正书宋_GBK" w:hint="eastAsia"/>
          <w:sz w:val="17"/>
          <w:szCs w:val="17"/>
        </w:rPr>
        <w:t>张志斌</w:t>
      </w:r>
      <w:r>
        <w:rPr>
          <w:sz w:val="17"/>
          <w:szCs w:val="17"/>
        </w:rPr>
        <w:t xml:space="preserve">, </w:t>
      </w:r>
      <w:r>
        <w:rPr>
          <w:rFonts w:cs="方正书宋_GBK" w:hint="eastAsia"/>
          <w:sz w:val="17"/>
          <w:szCs w:val="17"/>
        </w:rPr>
        <w:t>陈龙等</w:t>
      </w:r>
      <w:r>
        <w:rPr>
          <w:sz w:val="17"/>
          <w:szCs w:val="17"/>
        </w:rPr>
        <w:t xml:space="preserve">. </w:t>
      </w:r>
      <w:r>
        <w:rPr>
          <w:rFonts w:cs="方正书宋_GBK" w:hint="eastAsia"/>
          <w:sz w:val="17"/>
          <w:szCs w:val="17"/>
        </w:rPr>
        <w:t>基于可达性的兰州新区公共服务设施空间配置研究</w:t>
      </w:r>
      <w:r>
        <w:rPr>
          <w:sz w:val="17"/>
          <w:szCs w:val="17"/>
        </w:rPr>
        <w:t xml:space="preserve">[J]. </w:t>
      </w:r>
      <w:r>
        <w:rPr>
          <w:rFonts w:cs="方正书宋_GBK" w:hint="eastAsia"/>
          <w:sz w:val="17"/>
          <w:szCs w:val="17"/>
        </w:rPr>
        <w:t>干旱区资源与环境</w:t>
      </w:r>
      <w:r>
        <w:rPr>
          <w:sz w:val="17"/>
          <w:szCs w:val="17"/>
        </w:rPr>
        <w:t>, 2024, 38(7): 125–134</w:t>
      </w:r>
    </w:p>
    <w:p w:rsidR="00B158E6" w:rsidRDefault="00B158E6">
      <w:pPr>
        <w:pStyle w:val="af2"/>
        <w:numPr>
          <w:ilvl w:val="0"/>
          <w:numId w:val="7"/>
        </w:numPr>
        <w:spacing w:line="360" w:lineRule="exact"/>
        <w:ind w:left="420" w:hanging="420"/>
        <w:rPr>
          <w:sz w:val="17"/>
          <w:szCs w:val="17"/>
        </w:rPr>
      </w:pPr>
      <w:r>
        <w:rPr>
          <w:rFonts w:cs="方正书宋_GBK" w:hint="eastAsia"/>
          <w:sz w:val="17"/>
          <w:szCs w:val="17"/>
        </w:rPr>
        <w:t>李元芳</w:t>
      </w:r>
      <w:r>
        <w:rPr>
          <w:sz w:val="17"/>
          <w:szCs w:val="17"/>
        </w:rPr>
        <w:t xml:space="preserve">, </w:t>
      </w:r>
      <w:r>
        <w:rPr>
          <w:rFonts w:cs="方正书宋_GBK" w:hint="eastAsia"/>
          <w:sz w:val="17"/>
          <w:szCs w:val="17"/>
        </w:rPr>
        <w:t>乔伟峰</w:t>
      </w:r>
      <w:r>
        <w:rPr>
          <w:sz w:val="17"/>
          <w:szCs w:val="17"/>
        </w:rPr>
        <w:t xml:space="preserve">, </w:t>
      </w:r>
      <w:r>
        <w:rPr>
          <w:rFonts w:cs="方正书宋_GBK" w:hint="eastAsia"/>
          <w:sz w:val="17"/>
          <w:szCs w:val="17"/>
        </w:rPr>
        <w:t>杨春花等</w:t>
      </w:r>
      <w:r>
        <w:rPr>
          <w:sz w:val="17"/>
          <w:szCs w:val="17"/>
        </w:rPr>
        <w:t xml:space="preserve">. </w:t>
      </w:r>
      <w:r>
        <w:rPr>
          <w:rFonts w:cs="方正书宋_GBK" w:hint="eastAsia"/>
          <w:sz w:val="17"/>
          <w:szCs w:val="17"/>
        </w:rPr>
        <w:t>基于公共服务设施可达性的村镇建设格局评价及优化策略研究</w:t>
      </w:r>
      <w:r>
        <w:rPr>
          <w:spacing w:val="-12"/>
          <w:sz w:val="17"/>
          <w:szCs w:val="17"/>
        </w:rPr>
        <w:t>——</w:t>
      </w:r>
      <w:r>
        <w:rPr>
          <w:rFonts w:cs="方正书宋_GBK" w:hint="eastAsia"/>
          <w:sz w:val="17"/>
          <w:szCs w:val="17"/>
        </w:rPr>
        <w:t>以常州市金坛区为例</w:t>
      </w:r>
      <w:r>
        <w:rPr>
          <w:sz w:val="17"/>
          <w:szCs w:val="17"/>
        </w:rPr>
        <w:t xml:space="preserve">[J]. </w:t>
      </w:r>
      <w:r>
        <w:rPr>
          <w:rFonts w:cs="方正书宋_GBK" w:hint="eastAsia"/>
          <w:sz w:val="17"/>
          <w:szCs w:val="17"/>
        </w:rPr>
        <w:t>地理与地理信息科学</w:t>
      </w:r>
      <w:r>
        <w:rPr>
          <w:sz w:val="17"/>
          <w:szCs w:val="17"/>
        </w:rPr>
        <w:t>, 2024, 40(1): 106–113.</w:t>
      </w:r>
    </w:p>
    <w:p w:rsidR="00B158E6" w:rsidRDefault="00B158E6">
      <w:pPr>
        <w:pStyle w:val="af2"/>
        <w:numPr>
          <w:ilvl w:val="0"/>
          <w:numId w:val="7"/>
        </w:numPr>
        <w:spacing w:line="360" w:lineRule="exact"/>
        <w:ind w:left="420" w:hanging="420"/>
        <w:rPr>
          <w:sz w:val="17"/>
          <w:szCs w:val="17"/>
        </w:rPr>
      </w:pPr>
      <w:r>
        <w:rPr>
          <w:rFonts w:cs="方正书宋_GBK" w:hint="eastAsia"/>
          <w:sz w:val="17"/>
          <w:szCs w:val="17"/>
        </w:rPr>
        <w:t>傅俐</w:t>
      </w:r>
      <w:r>
        <w:rPr>
          <w:sz w:val="17"/>
          <w:szCs w:val="17"/>
        </w:rPr>
        <w:t xml:space="preserve">, </w:t>
      </w:r>
      <w:r>
        <w:rPr>
          <w:rFonts w:cs="方正书宋_GBK" w:hint="eastAsia"/>
          <w:sz w:val="17"/>
          <w:szCs w:val="17"/>
        </w:rPr>
        <w:t>王勇</w:t>
      </w:r>
      <w:r>
        <w:rPr>
          <w:sz w:val="17"/>
          <w:szCs w:val="17"/>
        </w:rPr>
        <w:t xml:space="preserve">, </w:t>
      </w:r>
      <w:r>
        <w:rPr>
          <w:rFonts w:cs="方正书宋_GBK" w:hint="eastAsia"/>
          <w:sz w:val="17"/>
          <w:szCs w:val="17"/>
        </w:rPr>
        <w:t>曾彪等</w:t>
      </w:r>
      <w:r>
        <w:rPr>
          <w:sz w:val="17"/>
          <w:szCs w:val="17"/>
        </w:rPr>
        <w:t xml:space="preserve">. </w:t>
      </w:r>
      <w:bookmarkStart w:id="17" w:name="OLE_LINK41"/>
      <w:r>
        <w:rPr>
          <w:rFonts w:cs="方正书宋_GBK" w:hint="eastAsia"/>
          <w:sz w:val="17"/>
          <w:szCs w:val="17"/>
        </w:rPr>
        <w:t>基于改进两步移动搜索法的北碚区医疗设施空间可达性分析</w:t>
      </w:r>
      <w:bookmarkEnd w:id="17"/>
      <w:r>
        <w:rPr>
          <w:sz w:val="17"/>
          <w:szCs w:val="17"/>
        </w:rPr>
        <w:t xml:space="preserve">[J]. </w:t>
      </w:r>
      <w:r>
        <w:rPr>
          <w:rFonts w:cs="方正书宋_GBK" w:hint="eastAsia"/>
          <w:sz w:val="17"/>
          <w:szCs w:val="17"/>
        </w:rPr>
        <w:t>地球信息科学学报</w:t>
      </w:r>
      <w:r>
        <w:rPr>
          <w:sz w:val="17"/>
          <w:szCs w:val="17"/>
        </w:rPr>
        <w:t>, 2019, 21(10): 1565</w:t>
      </w:r>
      <w:bookmarkStart w:id="18" w:name="OLE_LINK31"/>
      <w:r>
        <w:rPr>
          <w:sz w:val="17"/>
          <w:szCs w:val="17"/>
        </w:rPr>
        <w:t>–</w:t>
      </w:r>
      <w:bookmarkEnd w:id="18"/>
      <w:r>
        <w:rPr>
          <w:sz w:val="17"/>
          <w:szCs w:val="17"/>
        </w:rPr>
        <w:t>1575.</w:t>
      </w:r>
    </w:p>
    <w:p w:rsidR="00B158E6" w:rsidRDefault="00B158E6">
      <w:pPr>
        <w:pStyle w:val="af2"/>
        <w:numPr>
          <w:ilvl w:val="0"/>
          <w:numId w:val="7"/>
        </w:numPr>
        <w:spacing w:line="360" w:lineRule="exact"/>
        <w:ind w:left="420" w:hanging="420"/>
        <w:rPr>
          <w:sz w:val="17"/>
          <w:szCs w:val="17"/>
        </w:rPr>
      </w:pPr>
      <w:r>
        <w:rPr>
          <w:rFonts w:cs="方正书宋_GBK" w:hint="eastAsia"/>
          <w:sz w:val="17"/>
          <w:szCs w:val="17"/>
        </w:rPr>
        <w:t>杨星童</w:t>
      </w:r>
      <w:r>
        <w:rPr>
          <w:sz w:val="17"/>
          <w:szCs w:val="17"/>
        </w:rPr>
        <w:t xml:space="preserve">, </w:t>
      </w:r>
      <w:r>
        <w:rPr>
          <w:rFonts w:cs="方正书宋_GBK" w:hint="eastAsia"/>
          <w:sz w:val="17"/>
          <w:szCs w:val="17"/>
        </w:rPr>
        <w:t>李飞雪</w:t>
      </w:r>
      <w:r>
        <w:rPr>
          <w:sz w:val="17"/>
          <w:szCs w:val="17"/>
        </w:rPr>
        <w:t xml:space="preserve">, </w:t>
      </w:r>
      <w:r>
        <w:rPr>
          <w:rFonts w:cs="方正书宋_GBK" w:hint="eastAsia"/>
          <w:sz w:val="17"/>
          <w:szCs w:val="17"/>
        </w:rPr>
        <w:t>罗婷瑜等</w:t>
      </w:r>
      <w:r>
        <w:rPr>
          <w:sz w:val="17"/>
          <w:szCs w:val="17"/>
        </w:rPr>
        <w:t xml:space="preserve">. </w:t>
      </w:r>
      <w:bookmarkStart w:id="19" w:name="OLE_LINK30"/>
      <w:r>
        <w:rPr>
          <w:rFonts w:cs="方正书宋_GBK" w:hint="eastAsia"/>
          <w:sz w:val="17"/>
          <w:szCs w:val="17"/>
        </w:rPr>
        <w:t>基于改进两步移动搜索法的室内应急避难场所可达性研究</w:t>
      </w:r>
      <w:r>
        <w:rPr>
          <w:spacing w:val="-10"/>
          <w:sz w:val="17"/>
          <w:szCs w:val="17"/>
        </w:rPr>
        <w:t>——</w:t>
      </w:r>
      <w:r>
        <w:rPr>
          <w:rFonts w:cs="方正书宋_GBK" w:hint="eastAsia"/>
          <w:sz w:val="17"/>
          <w:szCs w:val="17"/>
        </w:rPr>
        <w:t>以深圳市都市核心区为例</w:t>
      </w:r>
      <w:bookmarkEnd w:id="19"/>
      <w:r>
        <w:rPr>
          <w:sz w:val="17"/>
          <w:szCs w:val="17"/>
        </w:rPr>
        <w:t xml:space="preserve">[J]. </w:t>
      </w:r>
      <w:r>
        <w:rPr>
          <w:rFonts w:cs="方正书宋_GBK" w:hint="eastAsia"/>
          <w:sz w:val="17"/>
          <w:szCs w:val="17"/>
        </w:rPr>
        <w:t>灾害学</w:t>
      </w:r>
      <w:r>
        <w:rPr>
          <w:sz w:val="17"/>
          <w:szCs w:val="17"/>
        </w:rPr>
        <w:t>,</w:t>
      </w:r>
      <w:bookmarkStart w:id="20" w:name="_Hlk240907994"/>
      <w:r>
        <w:rPr>
          <w:sz w:val="17"/>
          <w:szCs w:val="17"/>
        </w:rPr>
        <w:t xml:space="preserve"> 2026(3): 217–226.</w:t>
      </w:r>
      <w:bookmarkEnd w:id="20"/>
    </w:p>
    <w:p w:rsidR="00B158E6" w:rsidRDefault="00B158E6">
      <w:pPr>
        <w:pStyle w:val="af2"/>
        <w:numPr>
          <w:ilvl w:val="0"/>
          <w:numId w:val="7"/>
        </w:numPr>
        <w:spacing w:line="360" w:lineRule="exact"/>
        <w:ind w:left="420" w:hanging="420"/>
        <w:rPr>
          <w:sz w:val="17"/>
          <w:szCs w:val="17"/>
        </w:rPr>
      </w:pPr>
      <w:r>
        <w:rPr>
          <w:rFonts w:cs="方正书宋_GBK" w:hint="eastAsia"/>
          <w:sz w:val="17"/>
          <w:szCs w:val="17"/>
        </w:rPr>
        <w:t>钮心毅</w:t>
      </w:r>
      <w:r>
        <w:rPr>
          <w:sz w:val="17"/>
          <w:szCs w:val="17"/>
        </w:rPr>
        <w:t xml:space="preserve">, </w:t>
      </w:r>
      <w:r>
        <w:rPr>
          <w:rFonts w:cs="方正书宋_GBK" w:hint="eastAsia"/>
          <w:sz w:val="17"/>
          <w:szCs w:val="17"/>
        </w:rPr>
        <w:t>陈晨</w:t>
      </w:r>
      <w:r>
        <w:rPr>
          <w:sz w:val="17"/>
          <w:szCs w:val="17"/>
        </w:rPr>
        <w:t xml:space="preserve">. </w:t>
      </w:r>
      <w:bookmarkStart w:id="21" w:name="OLE_LINK42"/>
      <w:r>
        <w:rPr>
          <w:rFonts w:cs="方正书宋_GBK" w:hint="eastAsia"/>
          <w:sz w:val="17"/>
          <w:szCs w:val="17"/>
        </w:rPr>
        <w:t>郊区城镇基本公共服务空间均等和公正的测度</w:t>
      </w:r>
      <w:bookmarkEnd w:id="21"/>
      <w:r>
        <w:rPr>
          <w:sz w:val="17"/>
          <w:szCs w:val="17"/>
        </w:rPr>
        <w:t xml:space="preserve">[J]. </w:t>
      </w:r>
      <w:r>
        <w:rPr>
          <w:rFonts w:cs="方正书宋_GBK" w:hint="eastAsia"/>
          <w:sz w:val="17"/>
          <w:szCs w:val="17"/>
        </w:rPr>
        <w:t>城市规划</w:t>
      </w:r>
      <w:r>
        <w:rPr>
          <w:sz w:val="17"/>
          <w:szCs w:val="17"/>
        </w:rPr>
        <w:t>, 2018, 42(10): 42–50.</w:t>
      </w:r>
    </w:p>
    <w:p w:rsidR="00B158E6" w:rsidRDefault="00B158E6">
      <w:pPr>
        <w:pStyle w:val="af2"/>
        <w:numPr>
          <w:ilvl w:val="0"/>
          <w:numId w:val="7"/>
        </w:numPr>
        <w:spacing w:line="360" w:lineRule="exact"/>
        <w:ind w:left="420" w:hanging="420"/>
        <w:rPr>
          <w:sz w:val="17"/>
          <w:szCs w:val="17"/>
        </w:rPr>
      </w:pPr>
      <w:r>
        <w:rPr>
          <w:rFonts w:cs="方正书宋_GBK" w:hint="eastAsia"/>
          <w:sz w:val="17"/>
          <w:szCs w:val="17"/>
        </w:rPr>
        <w:t>张陈岩</w:t>
      </w:r>
      <w:r>
        <w:rPr>
          <w:sz w:val="17"/>
          <w:szCs w:val="17"/>
        </w:rPr>
        <w:t xml:space="preserve">, </w:t>
      </w:r>
      <w:r>
        <w:rPr>
          <w:rFonts w:cs="方正书宋_GBK" w:hint="eastAsia"/>
          <w:sz w:val="17"/>
          <w:szCs w:val="17"/>
        </w:rPr>
        <w:t>李静泰</w:t>
      </w:r>
      <w:r>
        <w:rPr>
          <w:sz w:val="17"/>
          <w:szCs w:val="17"/>
        </w:rPr>
        <w:t xml:space="preserve">, </w:t>
      </w:r>
      <w:r>
        <w:rPr>
          <w:rFonts w:cs="方正书宋_GBK" w:hint="eastAsia"/>
          <w:sz w:val="17"/>
          <w:szCs w:val="17"/>
        </w:rPr>
        <w:t>刘垚等</w:t>
      </w:r>
      <w:r>
        <w:rPr>
          <w:sz w:val="17"/>
          <w:szCs w:val="17"/>
        </w:rPr>
        <w:t xml:space="preserve">. </w:t>
      </w:r>
      <w:r>
        <w:rPr>
          <w:rFonts w:cs="方正书宋_GBK" w:hint="eastAsia"/>
          <w:sz w:val="17"/>
          <w:szCs w:val="17"/>
        </w:rPr>
        <w:t>基于空间格局视角的菜子湖湿地生态系统服务价值及其驱动因素研究</w:t>
      </w:r>
      <w:r>
        <w:rPr>
          <w:sz w:val="17"/>
          <w:szCs w:val="17"/>
        </w:rPr>
        <w:t xml:space="preserve">[J/OL]. </w:t>
      </w:r>
      <w:r>
        <w:rPr>
          <w:rFonts w:cs="方正书宋_GBK" w:hint="eastAsia"/>
          <w:sz w:val="17"/>
          <w:szCs w:val="17"/>
        </w:rPr>
        <w:t>草业科学</w:t>
      </w:r>
      <w:r>
        <w:rPr>
          <w:sz w:val="17"/>
          <w:szCs w:val="17"/>
        </w:rPr>
        <w:t xml:space="preserve">, </w:t>
      </w:r>
      <w:bookmarkStart w:id="22" w:name="_Hlk239862516"/>
      <w:r>
        <w:rPr>
          <w:sz w:val="17"/>
          <w:szCs w:val="17"/>
        </w:rPr>
        <w:t>2026</w:t>
      </w:r>
      <w:bookmarkEnd w:id="22"/>
      <w:r>
        <w:rPr>
          <w:sz w:val="17"/>
          <w:szCs w:val="17"/>
        </w:rPr>
        <w:t>.</w:t>
      </w:r>
    </w:p>
    <w:p w:rsidR="00B158E6" w:rsidRDefault="00B158E6">
      <w:pPr>
        <w:pStyle w:val="af2"/>
        <w:numPr>
          <w:ilvl w:val="0"/>
          <w:numId w:val="7"/>
        </w:numPr>
        <w:spacing w:line="360" w:lineRule="exact"/>
        <w:ind w:left="420" w:hanging="420"/>
        <w:rPr>
          <w:sz w:val="17"/>
          <w:szCs w:val="17"/>
        </w:rPr>
      </w:pPr>
      <w:r>
        <w:rPr>
          <w:rFonts w:cs="方正书宋_GBK" w:hint="eastAsia"/>
          <w:sz w:val="17"/>
          <w:szCs w:val="17"/>
        </w:rPr>
        <w:t>高巍</w:t>
      </w:r>
      <w:r>
        <w:rPr>
          <w:sz w:val="17"/>
          <w:szCs w:val="17"/>
        </w:rPr>
        <w:t xml:space="preserve">, </w:t>
      </w:r>
      <w:r>
        <w:rPr>
          <w:rFonts w:cs="方正书宋_GBK" w:hint="eastAsia"/>
          <w:sz w:val="17"/>
          <w:szCs w:val="17"/>
        </w:rPr>
        <w:t>李雅琪</w:t>
      </w:r>
      <w:r>
        <w:rPr>
          <w:sz w:val="17"/>
          <w:szCs w:val="17"/>
        </w:rPr>
        <w:t xml:space="preserve">, </w:t>
      </w:r>
      <w:r>
        <w:rPr>
          <w:rFonts w:cs="方正书宋_GBK" w:hint="eastAsia"/>
          <w:sz w:val="17"/>
          <w:szCs w:val="17"/>
        </w:rPr>
        <w:t>赵玫等</w:t>
      </w:r>
      <w:r>
        <w:rPr>
          <w:sz w:val="17"/>
          <w:szCs w:val="17"/>
        </w:rPr>
        <w:t xml:space="preserve">. </w:t>
      </w:r>
      <w:r>
        <w:rPr>
          <w:rFonts w:cs="方正书宋_GBK" w:hint="eastAsia"/>
          <w:sz w:val="17"/>
          <w:szCs w:val="17"/>
        </w:rPr>
        <w:t>基于</w:t>
      </w:r>
      <w:r>
        <w:rPr>
          <w:sz w:val="17"/>
          <w:szCs w:val="17"/>
        </w:rPr>
        <w:t>TOD</w:t>
      </w:r>
      <w:r>
        <w:rPr>
          <w:rFonts w:cs="方正书宋_GBK" w:hint="eastAsia"/>
          <w:sz w:val="17"/>
          <w:szCs w:val="17"/>
        </w:rPr>
        <w:t>站域供需视角的北京城市公共服务设施可达性分析</w:t>
      </w:r>
      <w:r>
        <w:rPr>
          <w:sz w:val="17"/>
          <w:szCs w:val="17"/>
        </w:rPr>
        <w:t xml:space="preserve">[J]. </w:t>
      </w:r>
      <w:r>
        <w:rPr>
          <w:rFonts w:cs="方正书宋_GBK" w:hint="eastAsia"/>
          <w:sz w:val="17"/>
          <w:szCs w:val="17"/>
        </w:rPr>
        <w:t>北京大学学报</w:t>
      </w:r>
      <w:r>
        <w:rPr>
          <w:sz w:val="17"/>
          <w:szCs w:val="17"/>
        </w:rPr>
        <w:t>(</w:t>
      </w:r>
      <w:r>
        <w:rPr>
          <w:rFonts w:cs="方正书宋_GBK" w:hint="eastAsia"/>
          <w:sz w:val="17"/>
          <w:szCs w:val="17"/>
        </w:rPr>
        <w:t>自然科学版</w:t>
      </w:r>
      <w:r>
        <w:rPr>
          <w:sz w:val="17"/>
          <w:szCs w:val="17"/>
        </w:rPr>
        <w:t>), 2025, 61(6): 1091–1104.</w:t>
      </w:r>
    </w:p>
    <w:p w:rsidR="00B158E6" w:rsidRDefault="00B158E6">
      <w:pPr>
        <w:pStyle w:val="af2"/>
        <w:numPr>
          <w:ilvl w:val="0"/>
          <w:numId w:val="7"/>
        </w:numPr>
        <w:spacing w:line="360" w:lineRule="exact"/>
        <w:ind w:left="420" w:hanging="420"/>
        <w:rPr>
          <w:sz w:val="17"/>
          <w:szCs w:val="17"/>
        </w:rPr>
      </w:pPr>
      <w:r>
        <w:rPr>
          <w:rFonts w:cs="方正书宋_GBK" w:hint="eastAsia"/>
          <w:sz w:val="17"/>
          <w:szCs w:val="17"/>
        </w:rPr>
        <w:t>徐瑞良</w:t>
      </w:r>
      <w:r>
        <w:rPr>
          <w:sz w:val="17"/>
          <w:szCs w:val="17"/>
        </w:rPr>
        <w:t xml:space="preserve">, </w:t>
      </w:r>
      <w:r>
        <w:rPr>
          <w:rFonts w:cs="方正书宋_GBK" w:hint="eastAsia"/>
          <w:sz w:val="17"/>
          <w:szCs w:val="17"/>
        </w:rPr>
        <w:t>刘倩倩</w:t>
      </w:r>
      <w:r>
        <w:rPr>
          <w:sz w:val="17"/>
          <w:szCs w:val="17"/>
        </w:rPr>
        <w:t xml:space="preserve">, </w:t>
      </w:r>
      <w:r>
        <w:rPr>
          <w:rFonts w:cs="方正书宋_GBK" w:hint="eastAsia"/>
          <w:sz w:val="17"/>
          <w:szCs w:val="17"/>
        </w:rPr>
        <w:t>廖莹等</w:t>
      </w:r>
      <w:r>
        <w:rPr>
          <w:sz w:val="17"/>
          <w:szCs w:val="17"/>
        </w:rPr>
        <w:t xml:space="preserve">. </w:t>
      </w:r>
      <w:bookmarkStart w:id="23" w:name="OLE_LINK43"/>
      <w:r>
        <w:rPr>
          <w:rFonts w:cs="方正书宋_GBK" w:hint="eastAsia"/>
          <w:sz w:val="17"/>
          <w:szCs w:val="17"/>
        </w:rPr>
        <w:t>基于</w:t>
      </w:r>
      <w:r>
        <w:rPr>
          <w:sz w:val="17"/>
          <w:szCs w:val="17"/>
        </w:rPr>
        <w:t>15 min</w:t>
      </w:r>
      <w:r>
        <w:rPr>
          <w:rFonts w:cs="方正书宋_GBK" w:hint="eastAsia"/>
          <w:sz w:val="17"/>
          <w:szCs w:val="17"/>
        </w:rPr>
        <w:t>生活圈的公共服务设施覆盖</w:t>
      </w:r>
      <w:r>
        <w:rPr>
          <w:sz w:val="17"/>
          <w:szCs w:val="17"/>
        </w:rPr>
        <w:t>—</w:t>
      </w:r>
      <w:r>
        <w:rPr>
          <w:rFonts w:cs="方正书宋_GBK" w:hint="eastAsia"/>
          <w:sz w:val="17"/>
          <w:szCs w:val="17"/>
        </w:rPr>
        <w:t>适配评价与优化</w:t>
      </w:r>
      <w:r>
        <w:rPr>
          <w:spacing w:val="-8"/>
          <w:sz w:val="17"/>
          <w:szCs w:val="17"/>
        </w:rPr>
        <w:t>——</w:t>
      </w:r>
      <w:r>
        <w:rPr>
          <w:rFonts w:cs="方正书宋_GBK" w:hint="eastAsia"/>
          <w:sz w:val="17"/>
          <w:szCs w:val="17"/>
        </w:rPr>
        <w:t>以南京市主</w:t>
      </w:r>
      <w:r>
        <w:rPr>
          <w:rFonts w:cs="方正书宋_GBK" w:hint="eastAsia"/>
          <w:sz w:val="17"/>
          <w:szCs w:val="17"/>
        </w:rPr>
        <w:lastRenderedPageBreak/>
        <w:t>城区为例</w:t>
      </w:r>
      <w:bookmarkEnd w:id="23"/>
      <w:r>
        <w:rPr>
          <w:sz w:val="17"/>
          <w:szCs w:val="17"/>
        </w:rPr>
        <w:t xml:space="preserve">[J]. </w:t>
      </w:r>
      <w:r>
        <w:rPr>
          <w:rFonts w:cs="方正书宋_GBK" w:hint="eastAsia"/>
          <w:sz w:val="17"/>
          <w:szCs w:val="17"/>
        </w:rPr>
        <w:t>地理科学进展</w:t>
      </w:r>
      <w:r>
        <w:rPr>
          <w:sz w:val="17"/>
          <w:szCs w:val="17"/>
        </w:rPr>
        <w:t>, 2026, 45(1): 209–224.</w:t>
      </w:r>
    </w:p>
    <w:p w:rsidR="00B158E6" w:rsidRDefault="00B158E6">
      <w:pPr>
        <w:pStyle w:val="af2"/>
        <w:numPr>
          <w:ilvl w:val="0"/>
          <w:numId w:val="7"/>
        </w:numPr>
        <w:spacing w:line="360" w:lineRule="exact"/>
        <w:ind w:left="420" w:hanging="420"/>
        <w:rPr>
          <w:sz w:val="17"/>
          <w:szCs w:val="17"/>
        </w:rPr>
      </w:pPr>
      <w:r>
        <w:rPr>
          <w:rFonts w:cs="方正书宋_GBK" w:hint="eastAsia"/>
          <w:sz w:val="17"/>
          <w:szCs w:val="17"/>
        </w:rPr>
        <w:t>韦韡</w:t>
      </w:r>
      <w:r>
        <w:rPr>
          <w:sz w:val="17"/>
          <w:szCs w:val="17"/>
        </w:rPr>
        <w:t xml:space="preserve">, </w:t>
      </w:r>
      <w:r>
        <w:rPr>
          <w:rFonts w:cs="方正书宋_GBK" w:hint="eastAsia"/>
          <w:sz w:val="17"/>
          <w:szCs w:val="17"/>
        </w:rPr>
        <w:t>蔡运坤</w:t>
      </w:r>
      <w:r>
        <w:rPr>
          <w:sz w:val="17"/>
          <w:szCs w:val="17"/>
        </w:rPr>
        <w:t xml:space="preserve">, </w:t>
      </w:r>
      <w:r>
        <w:rPr>
          <w:rFonts w:cs="方正书宋_GBK" w:hint="eastAsia"/>
          <w:sz w:val="17"/>
          <w:szCs w:val="17"/>
        </w:rPr>
        <w:t>陈晓璇</w:t>
      </w:r>
      <w:r>
        <w:rPr>
          <w:sz w:val="17"/>
          <w:szCs w:val="17"/>
        </w:rPr>
        <w:t xml:space="preserve">. </w:t>
      </w:r>
      <w:bookmarkStart w:id="24" w:name="OLE_LINK44"/>
      <w:r>
        <w:rPr>
          <w:rFonts w:cs="方正书宋_GBK" w:hint="eastAsia"/>
          <w:sz w:val="17"/>
          <w:szCs w:val="17"/>
        </w:rPr>
        <w:t>基本公共服务供给如何影响中国居民消费？</w:t>
      </w:r>
      <w:r>
        <w:rPr>
          <w:spacing w:val="-10"/>
          <w:sz w:val="17"/>
          <w:szCs w:val="17"/>
        </w:rPr>
        <w:t>——</w:t>
      </w:r>
      <w:r>
        <w:rPr>
          <w:rFonts w:cs="方正书宋_GBK" w:hint="eastAsia"/>
          <w:sz w:val="17"/>
          <w:szCs w:val="17"/>
        </w:rPr>
        <w:t>基于机会不平等视角</w:t>
      </w:r>
      <w:bookmarkEnd w:id="24"/>
      <w:r>
        <w:rPr>
          <w:sz w:val="17"/>
          <w:szCs w:val="17"/>
        </w:rPr>
        <w:t xml:space="preserve">[J]. </w:t>
      </w:r>
      <w:r>
        <w:rPr>
          <w:rFonts w:cs="方正书宋_GBK" w:hint="eastAsia"/>
          <w:sz w:val="17"/>
          <w:szCs w:val="17"/>
        </w:rPr>
        <w:t>消费经济</w:t>
      </w:r>
      <w:r>
        <w:rPr>
          <w:sz w:val="17"/>
          <w:szCs w:val="17"/>
        </w:rPr>
        <w:t>, 2023, 39(1): 33–45.</w:t>
      </w:r>
    </w:p>
    <w:p w:rsidR="00B158E6" w:rsidRDefault="00B158E6">
      <w:pPr>
        <w:pStyle w:val="af1"/>
        <w:numPr>
          <w:ilvl w:val="0"/>
          <w:numId w:val="7"/>
        </w:numPr>
        <w:spacing w:line="360" w:lineRule="exact"/>
        <w:ind w:left="420" w:hanging="420"/>
        <w:rPr>
          <w:rFonts w:ascii="Times New Roman" w:hAnsi="Times New Roman" w:cs="Times New Roman"/>
          <w:sz w:val="17"/>
          <w:szCs w:val="17"/>
        </w:rPr>
      </w:pPr>
      <w:bookmarkStart w:id="25" w:name="_Hlk239863033"/>
      <w:r>
        <w:rPr>
          <w:rFonts w:ascii="Times New Roman" w:hAnsi="Times New Roman" w:cs="Times New Roman"/>
          <w:sz w:val="17"/>
          <w:szCs w:val="17"/>
        </w:rPr>
        <w:t xml:space="preserve">Zhang, Y., Li, Q. Z., Huang, H. P., </w:t>
      </w:r>
      <w:r>
        <w:rPr>
          <w:rFonts w:ascii="Times New Roman" w:hAnsi="Times New Roman" w:cs="Times New Roman"/>
          <w:i/>
          <w:iCs/>
          <w:sz w:val="17"/>
          <w:szCs w:val="17"/>
        </w:rPr>
        <w:t>et al</w:t>
      </w:r>
      <w:r>
        <w:rPr>
          <w:rFonts w:ascii="Times New Roman" w:hAnsi="Times New Roman" w:cs="Times New Roman"/>
          <w:sz w:val="17"/>
          <w:szCs w:val="17"/>
        </w:rPr>
        <w:t xml:space="preserve">. </w:t>
      </w:r>
      <w:bookmarkStart w:id="26" w:name="OLE_LINK32"/>
      <w:r>
        <w:rPr>
          <w:rFonts w:ascii="Times New Roman" w:hAnsi="Times New Roman" w:cs="Times New Roman"/>
          <w:sz w:val="17"/>
          <w:szCs w:val="17"/>
        </w:rPr>
        <w:t>The combined use of remote sensing and social sensing data in fine-grained urban land use mapping: a case study in Beijing, China</w:t>
      </w:r>
      <w:bookmarkEnd w:id="26"/>
      <w:r>
        <w:rPr>
          <w:rFonts w:ascii="Times New Roman" w:hAnsi="Times New Roman" w:cs="Times New Roman"/>
          <w:sz w:val="17"/>
          <w:szCs w:val="17"/>
        </w:rPr>
        <w:t xml:space="preserve"> [J]. </w:t>
      </w:r>
      <w:r>
        <w:rPr>
          <w:rFonts w:ascii="Times New Roman" w:hAnsi="Times New Roman" w:cs="Times New Roman"/>
          <w:i/>
          <w:iCs/>
          <w:sz w:val="17"/>
          <w:szCs w:val="17"/>
        </w:rPr>
        <w:t>Remote Sensing</w:t>
      </w:r>
      <w:r>
        <w:rPr>
          <w:rFonts w:ascii="Times New Roman" w:hAnsi="Times New Roman" w:cs="Times New Roman"/>
          <w:sz w:val="17"/>
          <w:szCs w:val="17"/>
        </w:rPr>
        <w:t>, 2017, 9(9): 865.</w:t>
      </w:r>
    </w:p>
    <w:p w:rsidR="00B158E6" w:rsidRDefault="00B158E6">
      <w:pPr>
        <w:pStyle w:val="af1"/>
        <w:numPr>
          <w:ilvl w:val="0"/>
          <w:numId w:val="7"/>
        </w:numPr>
        <w:spacing w:line="360" w:lineRule="exact"/>
        <w:ind w:left="420" w:hanging="420"/>
        <w:rPr>
          <w:rFonts w:ascii="Times New Roman" w:hAnsi="Times New Roman" w:cs="Times New Roman"/>
          <w:sz w:val="17"/>
          <w:szCs w:val="17"/>
        </w:rPr>
      </w:pPr>
      <w:r>
        <w:rPr>
          <w:rFonts w:ascii="Times New Roman" w:hAnsi="Times New Roman" w:cs="Times New Roman"/>
          <w:sz w:val="17"/>
          <w:szCs w:val="17"/>
        </w:rPr>
        <w:t xml:space="preserve">Luo, W., Wang, F. H. Measures of spatial accessibility to health care in a GIS environment: synthesis and a case study in the Chicago region [J]. </w:t>
      </w:r>
      <w:r>
        <w:rPr>
          <w:rFonts w:ascii="Times New Roman" w:hAnsi="Times New Roman" w:cs="Times New Roman"/>
          <w:i/>
          <w:iCs/>
          <w:sz w:val="17"/>
          <w:szCs w:val="17"/>
        </w:rPr>
        <w:t>Environment and Planning B</w:t>
      </w:r>
      <w:r>
        <w:rPr>
          <w:rFonts w:ascii="Times New Roman" w:hAnsi="Times New Roman" w:cs="Times New Roman"/>
          <w:sz w:val="17"/>
          <w:szCs w:val="17"/>
        </w:rPr>
        <w:t>:</w:t>
      </w:r>
      <w:r>
        <w:rPr>
          <w:rFonts w:ascii="Times New Roman" w:hAnsi="Times New Roman" w:cs="Times New Roman"/>
          <w:i/>
          <w:iCs/>
          <w:sz w:val="17"/>
          <w:szCs w:val="17"/>
        </w:rPr>
        <w:t xml:space="preserve"> Planning and Design</w:t>
      </w:r>
      <w:r>
        <w:rPr>
          <w:rFonts w:ascii="Times New Roman" w:hAnsi="Times New Roman" w:cs="Times New Roman"/>
          <w:sz w:val="17"/>
          <w:szCs w:val="17"/>
        </w:rPr>
        <w:t>, 2003, 30(6): 865–884.</w:t>
      </w:r>
    </w:p>
    <w:p w:rsidR="00B158E6" w:rsidRDefault="00B158E6">
      <w:pPr>
        <w:pStyle w:val="af2"/>
        <w:numPr>
          <w:ilvl w:val="0"/>
          <w:numId w:val="7"/>
        </w:numPr>
        <w:spacing w:line="360" w:lineRule="exact"/>
        <w:ind w:left="420" w:hanging="420"/>
        <w:rPr>
          <w:sz w:val="17"/>
          <w:szCs w:val="17"/>
        </w:rPr>
      </w:pPr>
      <w:bookmarkStart w:id="27" w:name="OLE_LINK45"/>
      <w:bookmarkEnd w:id="25"/>
      <w:r>
        <w:rPr>
          <w:rFonts w:cs="方正书宋_GBK" w:hint="eastAsia"/>
          <w:sz w:val="17"/>
          <w:szCs w:val="17"/>
        </w:rPr>
        <w:t>张慧</w:t>
      </w:r>
      <w:r>
        <w:rPr>
          <w:sz w:val="17"/>
          <w:szCs w:val="17"/>
        </w:rPr>
        <w:t xml:space="preserve">. </w:t>
      </w:r>
      <w:r>
        <w:rPr>
          <w:rFonts w:cs="方正书宋_GBK" w:hint="eastAsia"/>
          <w:sz w:val="17"/>
          <w:szCs w:val="17"/>
        </w:rPr>
        <w:t>基于复杂网络的城市道路网络层次分析及表达</w:t>
      </w:r>
      <w:r>
        <w:rPr>
          <w:spacing w:val="-8"/>
          <w:sz w:val="17"/>
          <w:szCs w:val="17"/>
        </w:rPr>
        <w:t>——</w:t>
      </w:r>
      <w:r>
        <w:rPr>
          <w:rFonts w:cs="方正书宋_GBK" w:hint="eastAsia"/>
          <w:sz w:val="17"/>
          <w:szCs w:val="17"/>
        </w:rPr>
        <w:t>以济南和北京两市为例</w:t>
      </w:r>
      <w:bookmarkEnd w:id="27"/>
      <w:r>
        <w:rPr>
          <w:sz w:val="17"/>
          <w:szCs w:val="17"/>
        </w:rPr>
        <w:t xml:space="preserve">[D]. </w:t>
      </w:r>
      <w:r>
        <w:rPr>
          <w:rFonts w:cs="方正书宋_GBK" w:hint="eastAsia"/>
          <w:sz w:val="17"/>
          <w:szCs w:val="17"/>
        </w:rPr>
        <w:t>北京</w:t>
      </w:r>
      <w:r>
        <w:rPr>
          <w:sz w:val="17"/>
          <w:szCs w:val="17"/>
        </w:rPr>
        <w:t xml:space="preserve">: </w:t>
      </w:r>
      <w:r>
        <w:rPr>
          <w:rFonts w:cs="方正书宋_GBK" w:hint="eastAsia"/>
          <w:sz w:val="17"/>
          <w:szCs w:val="17"/>
        </w:rPr>
        <w:t>中国地质大学</w:t>
      </w:r>
      <w:r>
        <w:rPr>
          <w:sz w:val="17"/>
          <w:szCs w:val="17"/>
        </w:rPr>
        <w:t>(</w:t>
      </w:r>
      <w:r>
        <w:rPr>
          <w:rFonts w:cs="方正书宋_GBK" w:hint="eastAsia"/>
          <w:sz w:val="17"/>
          <w:szCs w:val="17"/>
        </w:rPr>
        <w:t>北京</w:t>
      </w:r>
      <w:r>
        <w:rPr>
          <w:sz w:val="17"/>
          <w:szCs w:val="17"/>
        </w:rPr>
        <w:t xml:space="preserve">), 2021. </w:t>
      </w:r>
    </w:p>
    <w:p w:rsidR="00B158E6" w:rsidRDefault="00B158E6">
      <w:pPr>
        <w:pStyle w:val="af1"/>
        <w:numPr>
          <w:ilvl w:val="0"/>
          <w:numId w:val="7"/>
        </w:numPr>
        <w:spacing w:line="360" w:lineRule="exact"/>
        <w:ind w:left="420" w:hanging="420"/>
        <w:rPr>
          <w:rFonts w:ascii="Times New Roman" w:hAnsi="Times New Roman" w:cs="Times New Roman"/>
          <w:sz w:val="17"/>
          <w:szCs w:val="17"/>
        </w:rPr>
      </w:pPr>
      <w:r>
        <w:rPr>
          <w:rFonts w:ascii="Times New Roman" w:hAnsi="Times New Roman" w:cs="Times New Roman"/>
          <w:sz w:val="17"/>
          <w:szCs w:val="17"/>
        </w:rPr>
        <w:t xml:space="preserve">Luo, W., Qi, Y. </w:t>
      </w:r>
      <w:bookmarkStart w:id="28" w:name="OLE_LINK33"/>
      <w:r>
        <w:rPr>
          <w:rFonts w:ascii="Times New Roman" w:hAnsi="Times New Roman" w:cs="Times New Roman"/>
          <w:sz w:val="17"/>
          <w:szCs w:val="17"/>
        </w:rPr>
        <w:t>An enhanced two-step floating catchment area (E2SFCA) method for measuring spatial accessibility to primary care physicians</w:t>
      </w:r>
      <w:bookmarkEnd w:id="28"/>
      <w:r>
        <w:rPr>
          <w:rFonts w:ascii="Times New Roman" w:hAnsi="Times New Roman" w:cs="Times New Roman"/>
          <w:sz w:val="17"/>
          <w:szCs w:val="17"/>
        </w:rPr>
        <w:t xml:space="preserve"> [J].</w:t>
      </w:r>
      <w:r>
        <w:rPr>
          <w:rFonts w:ascii="Times New Roman" w:hAnsi="Times New Roman" w:cs="Times New Roman"/>
          <w:i/>
          <w:iCs/>
          <w:sz w:val="17"/>
          <w:szCs w:val="17"/>
        </w:rPr>
        <w:t xml:space="preserve"> </w:t>
      </w:r>
      <w:bookmarkStart w:id="29" w:name="OLE_LINK34"/>
      <w:r>
        <w:rPr>
          <w:rFonts w:ascii="Times New Roman" w:hAnsi="Times New Roman" w:cs="Times New Roman"/>
          <w:i/>
          <w:iCs/>
          <w:sz w:val="17"/>
          <w:szCs w:val="17"/>
        </w:rPr>
        <w:t xml:space="preserve">Health </w:t>
      </w:r>
      <w:r>
        <w:rPr>
          <w:rFonts w:ascii="Times New Roman" w:hAnsi="Times New Roman" w:cs="Times New Roman"/>
          <w:sz w:val="17"/>
          <w:szCs w:val="17"/>
        </w:rPr>
        <w:t>&amp;</w:t>
      </w:r>
      <w:r>
        <w:rPr>
          <w:rFonts w:ascii="Times New Roman" w:hAnsi="Times New Roman" w:cs="Times New Roman"/>
          <w:i/>
          <w:iCs/>
          <w:sz w:val="17"/>
          <w:szCs w:val="17"/>
        </w:rPr>
        <w:t xml:space="preserve"> Place</w:t>
      </w:r>
      <w:bookmarkEnd w:id="29"/>
      <w:r>
        <w:rPr>
          <w:rFonts w:ascii="Times New Roman" w:hAnsi="Times New Roman" w:cs="Times New Roman"/>
          <w:sz w:val="17"/>
          <w:szCs w:val="17"/>
        </w:rPr>
        <w:t>, 2009, 15(4): 1100–1107.</w:t>
      </w:r>
    </w:p>
    <w:p w:rsidR="00B158E6" w:rsidRDefault="00B158E6">
      <w:pPr>
        <w:pStyle w:val="af1"/>
        <w:numPr>
          <w:ilvl w:val="0"/>
          <w:numId w:val="7"/>
        </w:numPr>
        <w:spacing w:line="360" w:lineRule="exact"/>
        <w:ind w:left="420" w:hanging="420"/>
        <w:rPr>
          <w:rFonts w:ascii="Times New Roman" w:hAnsi="Times New Roman" w:cs="Times New Roman"/>
          <w:sz w:val="17"/>
          <w:szCs w:val="17"/>
        </w:rPr>
      </w:pPr>
      <w:r>
        <w:rPr>
          <w:rFonts w:ascii="Times New Roman" w:hAnsi="Times New Roman" w:cs="Times New Roman"/>
          <w:sz w:val="17"/>
          <w:szCs w:val="17"/>
        </w:rPr>
        <w:t>McGrail, M. R., Humphreys, J. S. Measuring spatial accessibility to primary care in rural areas: improving the effectiveness of the two-step floating catchment area method [J].</w:t>
      </w:r>
      <w:r>
        <w:rPr>
          <w:rFonts w:ascii="Times New Roman" w:hAnsi="Times New Roman" w:cs="Times New Roman"/>
          <w:i/>
          <w:iCs/>
          <w:sz w:val="17"/>
          <w:szCs w:val="17"/>
        </w:rPr>
        <w:t xml:space="preserve"> Applied Geography</w:t>
      </w:r>
      <w:r>
        <w:rPr>
          <w:rFonts w:ascii="Times New Roman" w:hAnsi="Times New Roman" w:cs="Times New Roman"/>
          <w:sz w:val="17"/>
          <w:szCs w:val="17"/>
        </w:rPr>
        <w:t>, 2009, 29(4): 533–541.</w:t>
      </w:r>
    </w:p>
    <w:p w:rsidR="00B158E6" w:rsidRDefault="00B158E6">
      <w:pPr>
        <w:pStyle w:val="af1"/>
        <w:numPr>
          <w:ilvl w:val="0"/>
          <w:numId w:val="7"/>
        </w:numPr>
        <w:spacing w:line="360" w:lineRule="exact"/>
        <w:ind w:left="420" w:hanging="420"/>
        <w:rPr>
          <w:rFonts w:ascii="Times New Roman" w:hAnsi="Times New Roman" w:cs="Times New Roman"/>
          <w:sz w:val="17"/>
          <w:szCs w:val="17"/>
        </w:rPr>
      </w:pPr>
      <w:r>
        <w:rPr>
          <w:rFonts w:ascii="Times New Roman" w:hAnsi="Times New Roman" w:cs="Times New Roman"/>
          <w:spacing w:val="-3"/>
          <w:sz w:val="17"/>
          <w:szCs w:val="17"/>
        </w:rPr>
        <w:t xml:space="preserve">Dai, D. J. Racial/ethnic and socioeconomic disparities in urban green space accessibility: where to intervene? [J]. </w:t>
      </w:r>
      <w:r>
        <w:rPr>
          <w:rFonts w:ascii="Times New Roman" w:hAnsi="Times New Roman" w:cs="Times New Roman"/>
          <w:i/>
          <w:iCs/>
          <w:sz w:val="17"/>
          <w:szCs w:val="17"/>
        </w:rPr>
        <w:t>Landscape and Urban Planning</w:t>
      </w:r>
      <w:r>
        <w:rPr>
          <w:rFonts w:ascii="Times New Roman" w:hAnsi="Times New Roman" w:cs="Times New Roman"/>
          <w:sz w:val="17"/>
          <w:szCs w:val="17"/>
        </w:rPr>
        <w:t>, 2011, 102(4): 234–244.</w:t>
      </w:r>
    </w:p>
    <w:p w:rsidR="00B158E6" w:rsidRDefault="00B158E6">
      <w:pPr>
        <w:pStyle w:val="af1"/>
        <w:numPr>
          <w:ilvl w:val="0"/>
          <w:numId w:val="7"/>
        </w:numPr>
        <w:spacing w:line="360" w:lineRule="exact"/>
        <w:ind w:left="420" w:hanging="420"/>
        <w:rPr>
          <w:rFonts w:ascii="Times New Roman" w:hAnsi="Times New Roman" w:cs="Times New Roman"/>
          <w:sz w:val="17"/>
          <w:szCs w:val="17"/>
        </w:rPr>
      </w:pPr>
      <w:r>
        <w:rPr>
          <w:rFonts w:ascii="Times New Roman" w:hAnsi="Times New Roman" w:cs="Times New Roman"/>
          <w:spacing w:val="-2"/>
          <w:sz w:val="17"/>
          <w:szCs w:val="17"/>
        </w:rPr>
        <w:t xml:space="preserve">Wang, F. H. </w:t>
      </w:r>
      <w:bookmarkStart w:id="30" w:name="OLE_LINK35"/>
      <w:r>
        <w:rPr>
          <w:rFonts w:ascii="Times New Roman" w:hAnsi="Times New Roman" w:cs="Times New Roman"/>
          <w:spacing w:val="-2"/>
          <w:sz w:val="17"/>
          <w:szCs w:val="17"/>
        </w:rPr>
        <w:t>Measurement, optimization, and impact of health care accessibility: a methodological review</w:t>
      </w:r>
      <w:bookmarkEnd w:id="30"/>
      <w:r>
        <w:rPr>
          <w:rFonts w:ascii="Times New Roman" w:hAnsi="Times New Roman" w:cs="Times New Roman"/>
          <w:spacing w:val="-2"/>
          <w:sz w:val="17"/>
          <w:szCs w:val="17"/>
        </w:rPr>
        <w:t xml:space="preserve"> [J]. </w:t>
      </w:r>
      <w:r>
        <w:rPr>
          <w:rFonts w:ascii="Times New Roman" w:hAnsi="Times New Roman" w:cs="Times New Roman"/>
          <w:i/>
          <w:iCs/>
          <w:sz w:val="17"/>
          <w:szCs w:val="17"/>
        </w:rPr>
        <w:t>Annals of the Association of American Geographers</w:t>
      </w:r>
      <w:r>
        <w:rPr>
          <w:rFonts w:ascii="Times New Roman" w:hAnsi="Times New Roman" w:cs="Times New Roman"/>
          <w:sz w:val="17"/>
          <w:szCs w:val="17"/>
        </w:rPr>
        <w:t>, 2012, 102(5): 1104–1112.</w:t>
      </w:r>
    </w:p>
    <w:sectPr w:rsidR="00B158E6" w:rsidSect="00B158E6">
      <w:headerReference w:type="even" r:id="rId81"/>
      <w:headerReference w:type="default" r:id="rId82"/>
      <w:headerReference w:type="first" r:id="rId83"/>
      <w:footerReference w:type="first" r:id="rId84"/>
      <w:pgSz w:w="9979" w:h="14181"/>
      <w:pgMar w:top="851" w:right="1021" w:bottom="567" w:left="1021" w:header="567" w:footer="227" w:gutter="0"/>
      <w:pgNumType w:start="538"/>
      <w:cols w:space="720"/>
      <w:titlePg/>
      <w:docGrid w:type="linesAndChars" w:linePitch="312" w:charSpace="58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1D5D" w:rsidRDefault="00B61D5D">
      <w:pPr>
        <w:rPr>
          <w:rFonts w:cstheme="minorBidi"/>
          <w:sz w:val="18"/>
          <w:szCs w:val="18"/>
        </w:rPr>
      </w:pPr>
    </w:p>
  </w:endnote>
  <w:endnote w:type="continuationSeparator" w:id="0">
    <w:p w:rsidR="00B61D5D" w:rsidRDefault="00B61D5D">
      <w:pPr>
        <w:rPr>
          <w:rFonts w:cstheme="minorBidi"/>
          <w:sz w:val="18"/>
          <w:szCs w:val="18"/>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书宋_GBK">
    <w:panose1 w:val="02000000000000000000"/>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5F" w:usb2="00000000" w:usb3="00000000" w:csb0="0000019F" w:csb1="00000000"/>
  </w:font>
  <w:font w:name="Arial">
    <w:panose1 w:val="020B0604020202020204"/>
    <w:charset w:val="00"/>
    <w:family w:val="swiss"/>
    <w:pitch w:val="variable"/>
    <w:sig w:usb0="E0002AFF" w:usb1="C0007843" w:usb2="00000009" w:usb3="00000000" w:csb0="000001FF" w:csb1="00000000"/>
  </w:font>
  <w:font w:name="方正书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黑体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Adobe 黑体 Std R">
    <w:panose1 w:val="020B0400000000000000"/>
    <w:charset w:val="86"/>
    <w:family w:val="swiss"/>
    <w:notTrueType/>
    <w:pitch w:val="variable"/>
    <w:sig w:usb0="00000207" w:usb1="0A0F1810" w:usb2="00000016" w:usb3="00000000" w:csb0="00060007" w:csb1="00000000"/>
  </w:font>
  <w:font w:name="___WRD_EMBED_SUB_45">
    <w:altName w:val="微软雅黑"/>
    <w:charset w:val="86"/>
    <w:family w:val="auto"/>
    <w:pitch w:val="default"/>
    <w:sig w:usb0="00000000" w:usb1="00000000" w:usb2="00082016" w:usb3="00000000" w:csb0="00040001" w:csb1="00000000"/>
  </w:font>
  <w:font w:name="方正楷体_GBK">
    <w:panose1 w:val="02000000000000000000"/>
    <w:charset w:val="86"/>
    <w:family w:val="auto"/>
    <w:pitch w:val="variable"/>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8E6" w:rsidRDefault="00B158E6">
    <w:pPr>
      <w:spacing w:after="120"/>
      <w:ind w:firstLine="0"/>
      <w:rPr>
        <w:color w:val="000000"/>
        <w:u w:val="single"/>
      </w:rPr>
    </w:pPr>
    <w:r>
      <w:rPr>
        <w:color w:val="000000"/>
        <w:u w:val="single"/>
      </w:rPr>
      <w:t xml:space="preserve">                   </w:t>
    </w:r>
  </w:p>
  <w:p w:rsidR="00B158E6" w:rsidRDefault="00B158E6">
    <w:pPr>
      <w:autoSpaceDE w:val="0"/>
      <w:autoSpaceDN w:val="0"/>
      <w:spacing w:line="240" w:lineRule="auto"/>
      <w:ind w:left="616" w:hanging="616"/>
      <w:rPr>
        <w:color w:val="000000"/>
        <w:sz w:val="16"/>
        <w:szCs w:val="16"/>
      </w:rPr>
    </w:pPr>
    <w:r>
      <w:rPr>
        <w:rFonts w:eastAsia="黑体" w:cs="黑体" w:hint="eastAsia"/>
        <w:color w:val="000000"/>
        <w:sz w:val="16"/>
        <w:szCs w:val="16"/>
      </w:rPr>
      <w:t>收稿日期：</w:t>
    </w:r>
    <w:r>
      <w:rPr>
        <w:color w:val="000000"/>
        <w:sz w:val="16"/>
        <w:szCs w:val="16"/>
      </w:rPr>
      <w:t>2026-04-22</w:t>
    </w:r>
    <w:r>
      <w:rPr>
        <w:rFonts w:cs="方正书宋_GBK" w:hint="eastAsia"/>
        <w:color w:val="000000"/>
        <w:sz w:val="16"/>
        <w:szCs w:val="16"/>
      </w:rPr>
      <w:t>；</w:t>
    </w:r>
    <w:r>
      <w:rPr>
        <w:rFonts w:eastAsia="黑体" w:cs="黑体" w:hint="eastAsia"/>
        <w:color w:val="000000"/>
        <w:sz w:val="16"/>
        <w:szCs w:val="16"/>
      </w:rPr>
      <w:t>修订日期：</w:t>
    </w:r>
    <w:r>
      <w:rPr>
        <w:color w:val="000000"/>
        <w:sz w:val="16"/>
        <w:szCs w:val="16"/>
      </w:rPr>
      <w:t>2026-09-10</w:t>
    </w:r>
    <w:r>
      <w:rPr>
        <w:rFonts w:cs="方正书宋_GBK" w:hint="eastAsia"/>
        <w:color w:val="000000"/>
        <w:sz w:val="16"/>
        <w:szCs w:val="16"/>
      </w:rPr>
      <w:t>；</w:t>
    </w:r>
    <w:r>
      <w:rPr>
        <w:rFonts w:eastAsia="黑体" w:cs="黑体" w:hint="eastAsia"/>
        <w:color w:val="000000"/>
        <w:sz w:val="16"/>
        <w:szCs w:val="16"/>
      </w:rPr>
      <w:t>出版日期：</w:t>
    </w:r>
    <w:r>
      <w:rPr>
        <w:color w:val="000000"/>
        <w:sz w:val="16"/>
        <w:szCs w:val="16"/>
      </w:rPr>
      <w:t>2026-10-25</w:t>
    </w:r>
  </w:p>
  <w:p w:rsidR="00B158E6" w:rsidRDefault="00B158E6">
    <w:pPr>
      <w:spacing w:line="240" w:lineRule="auto"/>
      <w:ind w:left="1077" w:hanging="1077"/>
      <w:rPr>
        <w:rFonts w:eastAsia="黑体" w:cstheme="minorBidi"/>
        <w:color w:val="000000"/>
        <w:sz w:val="16"/>
        <w:szCs w:val="16"/>
      </w:rPr>
    </w:pPr>
    <w:r>
      <w:rPr>
        <w:rFonts w:eastAsia="黑体" w:cs="黑体" w:hint="eastAsia"/>
        <w:color w:val="000000"/>
        <w:sz w:val="16"/>
        <w:szCs w:val="16"/>
      </w:rPr>
      <w:t>基金项目：</w:t>
    </w:r>
    <w:r>
      <w:rPr>
        <w:rFonts w:cs="方正书宋_GBK" w:hint="eastAsia"/>
        <w:sz w:val="16"/>
        <w:szCs w:val="16"/>
      </w:rPr>
      <w:t>中华人民共和国科学技术部（</w:t>
    </w:r>
    <w:bookmarkStart w:id="34" w:name="_Hlk239860210"/>
    <w:r>
      <w:rPr>
        <w:sz w:val="16"/>
        <w:szCs w:val="16"/>
      </w:rPr>
      <w:t>2022YFC3800202</w:t>
    </w:r>
    <w:bookmarkEnd w:id="34"/>
    <w:r>
      <w:rPr>
        <w:rFonts w:cs="方正书宋_GBK" w:hint="eastAsia"/>
        <w:sz w:val="16"/>
        <w:szCs w:val="16"/>
      </w:rPr>
      <w:t>）</w:t>
    </w:r>
  </w:p>
  <w:p w:rsidR="00B158E6" w:rsidRDefault="00B158E6">
    <w:pPr>
      <w:spacing w:line="240" w:lineRule="auto"/>
      <w:ind w:left="1077" w:hanging="1077"/>
      <w:rPr>
        <w:color w:val="000000"/>
        <w:spacing w:val="2"/>
        <w:sz w:val="16"/>
        <w:szCs w:val="16"/>
      </w:rPr>
    </w:pPr>
    <w:r>
      <w:rPr>
        <w:rFonts w:eastAsia="黑体"/>
        <w:color w:val="000000"/>
        <w:sz w:val="16"/>
        <w:szCs w:val="16"/>
      </w:rPr>
      <w:t>*</w:t>
    </w:r>
    <w:r>
      <w:rPr>
        <w:rFonts w:eastAsia="黑体" w:cs="黑体" w:hint="eastAsia"/>
        <w:color w:val="000000"/>
        <w:sz w:val="16"/>
        <w:szCs w:val="16"/>
      </w:rPr>
      <w:t>通讯作者：</w:t>
    </w:r>
    <w:r>
      <w:rPr>
        <w:rFonts w:cs="方正书宋_GBK" w:hint="eastAsia"/>
        <w:color w:val="000000"/>
        <w:spacing w:val="2"/>
        <w:sz w:val="16"/>
        <w:szCs w:val="16"/>
      </w:rPr>
      <w:t>张宁</w:t>
    </w:r>
    <w:r>
      <w:rPr>
        <w:color w:val="000000"/>
        <w:spacing w:val="2"/>
        <w:sz w:val="16"/>
        <w:szCs w:val="16"/>
      </w:rPr>
      <w:t xml:space="preserve">, </w:t>
    </w:r>
    <w:r>
      <w:rPr>
        <w:rFonts w:cs="方正书宋_GBK" w:hint="eastAsia"/>
        <w:color w:val="000000"/>
        <w:spacing w:val="2"/>
        <w:sz w:val="16"/>
        <w:szCs w:val="16"/>
      </w:rPr>
      <w:t>中国城市规划设计研究院</w:t>
    </w:r>
    <w:r>
      <w:rPr>
        <w:color w:val="000000"/>
        <w:spacing w:val="2"/>
        <w:sz w:val="16"/>
        <w:szCs w:val="16"/>
      </w:rPr>
      <w:t>, zhangning@caupd.com</w:t>
    </w:r>
  </w:p>
  <w:p w:rsidR="00B158E6" w:rsidRDefault="00B158E6" w:rsidP="009A1B3A">
    <w:pPr>
      <w:spacing w:line="240" w:lineRule="auto"/>
      <w:ind w:left="800" w:hangingChars="500" w:hanging="800"/>
      <w:rPr>
        <w:rFonts w:cstheme="minorBidi"/>
        <w:color w:val="000000"/>
        <w:sz w:val="16"/>
        <w:szCs w:val="16"/>
      </w:rPr>
    </w:pPr>
    <w:r>
      <w:rPr>
        <w:rFonts w:eastAsia="黑体" w:cs="黑体" w:hint="eastAsia"/>
        <w:color w:val="000000"/>
        <w:sz w:val="16"/>
        <w:szCs w:val="16"/>
      </w:rPr>
      <w:t>引用方式：</w:t>
    </w:r>
    <w:r>
      <w:rPr>
        <w:rFonts w:cs="方正书宋_GBK" w:hint="eastAsia"/>
        <w:sz w:val="16"/>
        <w:szCs w:val="16"/>
      </w:rPr>
      <w:t>田浩正，蒋晓涵，张宁等</w:t>
    </w:r>
    <w:r>
      <w:rPr>
        <w:sz w:val="16"/>
        <w:szCs w:val="16"/>
      </w:rPr>
      <w:t xml:space="preserve">. </w:t>
    </w:r>
    <w:r>
      <w:rPr>
        <w:rFonts w:cs="方正书宋_GBK" w:hint="eastAsia"/>
        <w:sz w:val="16"/>
        <w:szCs w:val="16"/>
      </w:rPr>
      <w:t>基于多半径高斯两步移动搜索法的北京市多类型公共服务设施可达性分析</w:t>
    </w:r>
    <w:r>
      <w:rPr>
        <w:sz w:val="16"/>
        <w:szCs w:val="16"/>
      </w:rPr>
      <w:t xml:space="preserve">[J]. </w:t>
    </w:r>
    <w:r>
      <w:rPr>
        <w:rFonts w:cs="方正书宋_GBK" w:hint="eastAsia"/>
        <w:spacing w:val="2"/>
        <w:sz w:val="16"/>
        <w:szCs w:val="16"/>
      </w:rPr>
      <w:t>全球变化数据学报</w:t>
    </w:r>
    <w:r>
      <w:rPr>
        <w:spacing w:val="2"/>
        <w:sz w:val="16"/>
        <w:szCs w:val="16"/>
      </w:rPr>
      <w:t>,</w:t>
    </w:r>
    <w:r>
      <w:t xml:space="preserve"> </w:t>
    </w:r>
    <w:r>
      <w:rPr>
        <w:spacing w:val="2"/>
        <w:sz w:val="16"/>
        <w:szCs w:val="16"/>
      </w:rPr>
      <w:t xml:space="preserve">2026, 10(5): 538–552. https://doi.org/10.3974/geodp.2026.05.04. </w:t>
    </w:r>
    <w:bookmarkStart w:id="35" w:name="OLE_LINK27"/>
    <w:r>
      <w:rPr>
        <w:spacing w:val="2"/>
        <w:sz w:val="16"/>
        <w:szCs w:val="16"/>
      </w:rPr>
      <w:t>https://cstr.escience.org.cn/CSTR:20146.14.2026.05.04.</w:t>
    </w:r>
    <w:bookmarkEnd w:id="35"/>
  </w:p>
  <w:p w:rsidR="00B158E6" w:rsidRDefault="00B158E6">
    <w:pPr>
      <w:pStyle w:val="aa"/>
      <w:tabs>
        <w:tab w:val="clear" w:pos="4153"/>
        <w:tab w:val="center" w:pos="7382"/>
      </w:tabs>
      <w:spacing w:before="120" w:after="120"/>
      <w:ind w:firstLine="0"/>
      <w:rPr>
        <w:rFonts w:cstheme="minorBidi"/>
        <w:color w:val="000000"/>
      </w:rPr>
    </w:pPr>
    <w:r>
      <w:rPr>
        <w:rFonts w:cstheme="minorBidi"/>
        <w:b/>
        <w:bCs/>
        <w:color w:val="000000"/>
        <w:sz w:val="16"/>
        <w:szCs w:val="16"/>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1D5D" w:rsidRDefault="00B61D5D">
      <w:pPr>
        <w:pStyle w:val="aa"/>
        <w:ind w:firstLine="0"/>
        <w:rPr>
          <w:rFonts w:cstheme="minorBidi"/>
        </w:rPr>
      </w:pPr>
      <w:bookmarkStart w:id="0" w:name="OLE_LINK12"/>
      <w:bookmarkStart w:id="1" w:name="OLE_LINK15"/>
      <w:bookmarkStart w:id="2" w:name="_Hlk238454686"/>
      <w:r>
        <w:rPr>
          <w:strike/>
        </w:rPr>
        <w:t xml:space="preserve">                   </w:t>
      </w:r>
      <w:bookmarkEnd w:id="0"/>
      <w:bookmarkEnd w:id="1"/>
      <w:bookmarkEnd w:id="2"/>
    </w:p>
  </w:footnote>
  <w:footnote w:type="continuationSeparator" w:id="0">
    <w:p w:rsidR="00B61D5D" w:rsidRDefault="00B61D5D">
      <w:pPr>
        <w:rPr>
          <w:rFonts w:cstheme="minorBidi"/>
          <w:sz w:val="18"/>
          <w:szCs w:val="18"/>
        </w:rPr>
      </w:pPr>
    </w:p>
  </w:footnote>
  <w:footnote w:type="continuationNotice" w:id="1">
    <w:p w:rsidR="00B61D5D" w:rsidRDefault="00B61D5D">
      <w:pPr>
        <w:spacing w:line="240" w:lineRule="auto"/>
        <w:rPr>
          <w:rFonts w:cstheme="minorBidi"/>
        </w:rPr>
      </w:pPr>
    </w:p>
  </w:footnote>
  <w:footnote w:id="2">
    <w:p w:rsidR="00B158E6" w:rsidRDefault="00B158E6">
      <w:pPr>
        <w:pStyle w:val="ac"/>
        <w:ind w:firstLine="0"/>
        <w:rPr>
          <w:rFonts w:cstheme="minorBidi"/>
        </w:rPr>
      </w:pPr>
      <w:r>
        <w:rPr>
          <w:rStyle w:val="a7"/>
          <w:rFonts w:cstheme="minorBidi"/>
        </w:rPr>
        <w:footnoteRef/>
      </w:r>
      <w:r>
        <w:t xml:space="preserve"> https://www.webmap.cn.</w:t>
      </w:r>
    </w:p>
  </w:footnote>
  <w:footnote w:id="3">
    <w:p w:rsidR="00B158E6" w:rsidRDefault="00B158E6">
      <w:pPr>
        <w:pStyle w:val="ac"/>
        <w:ind w:firstLine="0"/>
        <w:rPr>
          <w:rFonts w:cstheme="minorBidi"/>
        </w:rPr>
      </w:pPr>
      <w:r>
        <w:rPr>
          <w:rStyle w:val="a7"/>
          <w:rFonts w:cstheme="minorBidi"/>
        </w:rPr>
        <w:footnoteRef/>
      </w:r>
      <w:r>
        <w:t xml:space="preserve"> </w:t>
      </w:r>
      <w:hyperlink r:id="rId1" w:history="1">
        <w:r>
          <w:rPr>
            <w:rStyle w:val="a5"/>
            <w:color w:val="auto"/>
            <w:u w:val="none"/>
          </w:rPr>
          <w:t>https://www.openstreetmap.org</w:t>
        </w:r>
      </w:hyperlink>
      <w:r>
        <w:t>.</w:t>
      </w:r>
    </w:p>
  </w:footnote>
  <w:footnote w:id="4">
    <w:p w:rsidR="00B158E6" w:rsidRDefault="00B158E6">
      <w:pPr>
        <w:pStyle w:val="ac"/>
        <w:ind w:firstLine="0"/>
        <w:rPr>
          <w:rFonts w:cstheme="minorBidi"/>
        </w:rPr>
      </w:pPr>
      <w:r>
        <w:rPr>
          <w:rStyle w:val="a7"/>
          <w:rFonts w:cstheme="minorBidi"/>
        </w:rPr>
        <w:footnoteRef/>
      </w:r>
      <w:r>
        <w:t xml:space="preserve"> https://www.worldpop.org.</w:t>
      </w:r>
    </w:p>
  </w:footnote>
  <w:footnote w:id="5">
    <w:p w:rsidR="00B158E6" w:rsidRDefault="00B158E6">
      <w:pPr>
        <w:pStyle w:val="ac"/>
        <w:ind w:firstLine="0"/>
        <w:rPr>
          <w:rFonts w:cstheme="minorBidi"/>
        </w:rPr>
      </w:pPr>
      <w:r>
        <w:rPr>
          <w:rStyle w:val="a7"/>
          <w:rFonts w:cstheme="minorBidi"/>
        </w:rPr>
        <w:footnoteRef/>
      </w:r>
      <w:r>
        <w:t xml:space="preserve"> </w:t>
      </w:r>
      <w:hyperlink r:id="rId2" w:history="1">
        <w:r>
          <w:t>https://lbs.amap.com</w:t>
        </w:r>
      </w:hyperlink>
      <w: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31" w:name="_Hlk238226564"/>
  <w:bookmarkStart w:id="32" w:name="OLE_LINK14"/>
  <w:bookmarkStart w:id="33" w:name="OLE_LINK13"/>
  <w:p w:rsidR="00B158E6" w:rsidRDefault="00C92DA1">
    <w:pPr>
      <w:pStyle w:val="ab"/>
      <w:pBdr>
        <w:bottom w:val="single" w:sz="4" w:space="1" w:color="auto"/>
      </w:pBdr>
      <w:tabs>
        <w:tab w:val="clear" w:pos="4153"/>
        <w:tab w:val="center" w:pos="3972"/>
        <w:tab w:val="right" w:pos="7938"/>
      </w:tabs>
      <w:spacing w:before="240" w:after="120" w:line="288" w:lineRule="auto"/>
      <w:ind w:left="113" w:hanging="113"/>
      <w:jc w:val="both"/>
      <w:rPr>
        <w:rFonts w:cstheme="minorBidi"/>
        <w:sz w:val="16"/>
        <w:szCs w:val="16"/>
      </w:rPr>
    </w:pPr>
    <w:r>
      <w:rPr>
        <w:rStyle w:val="a6"/>
        <w:sz w:val="17"/>
        <w:szCs w:val="17"/>
      </w:rPr>
      <w:fldChar w:fldCharType="begin"/>
    </w:r>
    <w:r w:rsidR="00B158E6">
      <w:rPr>
        <w:rStyle w:val="a6"/>
        <w:sz w:val="17"/>
        <w:szCs w:val="17"/>
      </w:rPr>
      <w:instrText xml:space="preserve"> PAGE </w:instrText>
    </w:r>
    <w:r>
      <w:rPr>
        <w:rStyle w:val="a6"/>
        <w:sz w:val="17"/>
        <w:szCs w:val="17"/>
      </w:rPr>
      <w:fldChar w:fldCharType="separate"/>
    </w:r>
    <w:r w:rsidR="009A1B3A">
      <w:rPr>
        <w:rStyle w:val="a6"/>
        <w:noProof/>
        <w:sz w:val="17"/>
        <w:szCs w:val="17"/>
      </w:rPr>
      <w:t>544</w:t>
    </w:r>
    <w:r>
      <w:rPr>
        <w:rStyle w:val="a6"/>
        <w:sz w:val="17"/>
        <w:szCs w:val="17"/>
      </w:rPr>
      <w:fldChar w:fldCharType="end"/>
    </w:r>
    <w:r w:rsidR="00B158E6">
      <w:rPr>
        <w:rStyle w:val="a6"/>
        <w:rFonts w:cstheme="minorBidi"/>
        <w:sz w:val="17"/>
        <w:szCs w:val="17"/>
      </w:rPr>
      <w:tab/>
    </w:r>
    <w:r w:rsidR="00B158E6">
      <w:rPr>
        <w:rStyle w:val="a6"/>
        <w:sz w:val="17"/>
        <w:szCs w:val="17"/>
      </w:rPr>
      <w:t xml:space="preserve">                                    </w:t>
    </w:r>
    <w:r w:rsidR="00B158E6">
      <w:rPr>
        <w:rFonts w:cs="方正书宋_GBK" w:hint="eastAsia"/>
        <w:spacing w:val="20"/>
        <w:kern w:val="0"/>
        <w:sz w:val="17"/>
        <w:szCs w:val="17"/>
      </w:rPr>
      <w:t>全球变化数据学报</w:t>
    </w:r>
    <w:r w:rsidR="00B158E6">
      <w:rPr>
        <w:spacing w:val="20"/>
        <w:kern w:val="0"/>
        <w:sz w:val="17"/>
        <w:szCs w:val="17"/>
      </w:rPr>
      <w:t xml:space="preserve">                   </w:t>
    </w:r>
    <w:r w:rsidR="00B158E6">
      <w:rPr>
        <w:rFonts w:cs="方正书宋_GBK" w:hint="eastAsia"/>
        <w:color w:val="000000"/>
        <w:sz w:val="17"/>
        <w:szCs w:val="17"/>
      </w:rPr>
      <w:t>第</w:t>
    </w:r>
    <w:r w:rsidR="00B158E6">
      <w:rPr>
        <w:rStyle w:val="a6"/>
        <w:color w:val="000000"/>
        <w:sz w:val="17"/>
        <w:szCs w:val="17"/>
      </w:rPr>
      <w:t>10</w:t>
    </w:r>
    <w:r w:rsidR="00B158E6">
      <w:rPr>
        <w:rFonts w:cs="方正书宋_GBK" w:hint="eastAsia"/>
        <w:color w:val="000000"/>
        <w:sz w:val="17"/>
        <w:szCs w:val="17"/>
      </w:rPr>
      <w:t>卷</w:t>
    </w:r>
  </w:p>
  <w:bookmarkEnd w:id="31"/>
  <w:bookmarkEnd w:id="32"/>
  <w:bookmarkEnd w:id="33"/>
  <w:p w:rsidR="00B158E6" w:rsidRDefault="00B158E6">
    <w:pPr>
      <w:pStyle w:val="ab"/>
      <w:pBdr>
        <w:bottom w:val="none" w:sz="0" w:space="0" w:color="auto"/>
      </w:pBdr>
      <w:rPr>
        <w:rFonts w:cstheme="minorBidi"/>
        <w:sz w:val="10"/>
        <w:szCs w:val="1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8E6" w:rsidRDefault="00B158E6">
    <w:pPr>
      <w:pStyle w:val="ab"/>
      <w:pBdr>
        <w:bottom w:val="single" w:sz="4" w:space="1" w:color="auto"/>
      </w:pBdr>
      <w:tabs>
        <w:tab w:val="clear" w:pos="4153"/>
        <w:tab w:val="center" w:pos="4111"/>
        <w:tab w:val="right" w:pos="7938"/>
      </w:tabs>
      <w:spacing w:before="240" w:after="120" w:line="288" w:lineRule="auto"/>
      <w:ind w:firstLine="0"/>
      <w:jc w:val="both"/>
      <w:rPr>
        <w:rFonts w:cstheme="minorBidi"/>
        <w:sz w:val="16"/>
        <w:szCs w:val="16"/>
      </w:rPr>
    </w:pPr>
    <w:r>
      <w:rPr>
        <w:rFonts w:cs="方正书宋_GBK" w:hint="eastAsia"/>
        <w:kern w:val="0"/>
        <w:sz w:val="17"/>
        <w:szCs w:val="17"/>
      </w:rPr>
      <w:t>第</w:t>
    </w:r>
    <w:r>
      <w:rPr>
        <w:kern w:val="0"/>
        <w:sz w:val="17"/>
        <w:szCs w:val="17"/>
      </w:rPr>
      <w:t>5</w:t>
    </w:r>
    <w:r>
      <w:rPr>
        <w:rFonts w:cs="方正书宋_GBK" w:hint="eastAsia"/>
        <w:kern w:val="0"/>
        <w:sz w:val="17"/>
        <w:szCs w:val="17"/>
      </w:rPr>
      <w:t>期</w:t>
    </w:r>
    <w:r>
      <w:rPr>
        <w:rFonts w:cstheme="minorBidi"/>
        <w:kern w:val="0"/>
        <w:sz w:val="17"/>
        <w:szCs w:val="17"/>
      </w:rPr>
      <w:tab/>
    </w:r>
    <w:r>
      <w:rPr>
        <w:rFonts w:cs="方正书宋_GBK" w:hint="eastAsia"/>
        <w:kern w:val="0"/>
        <w:sz w:val="17"/>
        <w:szCs w:val="17"/>
      </w:rPr>
      <w:t>田浩正</w:t>
    </w:r>
    <w:r>
      <w:rPr>
        <w:kern w:val="0"/>
        <w:sz w:val="17"/>
        <w:szCs w:val="17"/>
      </w:rPr>
      <w:t xml:space="preserve"> </w:t>
    </w:r>
    <w:r>
      <w:rPr>
        <w:rFonts w:cs="方正书宋_GBK" w:hint="eastAsia"/>
        <w:kern w:val="0"/>
        <w:sz w:val="17"/>
        <w:szCs w:val="17"/>
      </w:rPr>
      <w:t>等：基于多半径高斯两步移动搜索法的北京市多类型公共服务设施可达性分析</w:t>
    </w:r>
    <w:r>
      <w:rPr>
        <w:rFonts w:cstheme="minorBidi"/>
        <w:sz w:val="16"/>
        <w:szCs w:val="16"/>
      </w:rPr>
      <w:tab/>
    </w:r>
    <w:r w:rsidR="00C92DA1">
      <w:rPr>
        <w:rStyle w:val="a6"/>
        <w:sz w:val="17"/>
        <w:szCs w:val="17"/>
      </w:rPr>
      <w:fldChar w:fldCharType="begin"/>
    </w:r>
    <w:r>
      <w:rPr>
        <w:rStyle w:val="a6"/>
        <w:sz w:val="17"/>
        <w:szCs w:val="17"/>
      </w:rPr>
      <w:instrText xml:space="preserve"> PAGE </w:instrText>
    </w:r>
    <w:r w:rsidR="00C92DA1">
      <w:rPr>
        <w:rStyle w:val="a6"/>
        <w:sz w:val="17"/>
        <w:szCs w:val="17"/>
      </w:rPr>
      <w:fldChar w:fldCharType="separate"/>
    </w:r>
    <w:r w:rsidR="009A1B3A">
      <w:rPr>
        <w:rStyle w:val="a6"/>
        <w:noProof/>
        <w:sz w:val="17"/>
        <w:szCs w:val="17"/>
      </w:rPr>
      <w:t>545</w:t>
    </w:r>
    <w:r w:rsidR="00C92DA1">
      <w:rPr>
        <w:rStyle w:val="a6"/>
        <w:sz w:val="17"/>
        <w:szCs w:val="17"/>
      </w:rPr>
      <w:fldChar w:fldCharType="end"/>
    </w:r>
  </w:p>
  <w:p w:rsidR="00B158E6" w:rsidRDefault="00B158E6">
    <w:pPr>
      <w:pStyle w:val="ab"/>
      <w:pBdr>
        <w:bottom w:val="none" w:sz="0" w:space="0" w:color="auto"/>
      </w:pBdr>
      <w:rPr>
        <w:rFonts w:cstheme="minorBidi"/>
        <w:sz w:val="10"/>
        <w:szCs w:val="1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8E6" w:rsidRDefault="00B158E6">
    <w:pPr>
      <w:pStyle w:val="ab"/>
      <w:pBdr>
        <w:bottom w:val="none" w:sz="0" w:space="0" w:color="auto"/>
      </w:pBdr>
      <w:tabs>
        <w:tab w:val="clear" w:pos="4153"/>
        <w:tab w:val="clear" w:pos="8306"/>
        <w:tab w:val="left" w:pos="-4758"/>
        <w:tab w:val="center" w:pos="4200"/>
        <w:tab w:val="right" w:pos="7937"/>
        <w:tab w:val="right" w:pos="9552"/>
      </w:tabs>
      <w:spacing w:line="240" w:lineRule="exact"/>
      <w:ind w:left="60" w:firstLine="0"/>
      <w:jc w:val="both"/>
      <w:rPr>
        <w:sz w:val="17"/>
        <w:szCs w:val="17"/>
      </w:rPr>
    </w:pPr>
    <w:r>
      <w:rPr>
        <w:rFonts w:cs="方正书宋_GBK" w:hint="eastAsia"/>
        <w:sz w:val="17"/>
        <w:szCs w:val="17"/>
      </w:rPr>
      <w:t>第</w:t>
    </w:r>
    <w:r>
      <w:rPr>
        <w:sz w:val="17"/>
        <w:szCs w:val="17"/>
      </w:rPr>
      <w:t>10</w:t>
    </w:r>
    <w:r>
      <w:rPr>
        <w:rFonts w:cs="方正书宋_GBK" w:hint="eastAsia"/>
        <w:sz w:val="17"/>
        <w:szCs w:val="17"/>
      </w:rPr>
      <w:t>卷</w:t>
    </w:r>
    <w:r>
      <w:rPr>
        <w:sz w:val="17"/>
        <w:szCs w:val="17"/>
      </w:rPr>
      <w:t xml:space="preserve"> </w:t>
    </w:r>
    <w:r>
      <w:rPr>
        <w:rFonts w:cs="方正书宋_GBK" w:hint="eastAsia"/>
        <w:sz w:val="17"/>
        <w:szCs w:val="17"/>
      </w:rPr>
      <w:t>第</w:t>
    </w:r>
    <w:r>
      <w:rPr>
        <w:sz w:val="17"/>
        <w:szCs w:val="17"/>
      </w:rPr>
      <w:t>5</w:t>
    </w:r>
    <w:r>
      <w:rPr>
        <w:rFonts w:cs="方正书宋_GBK" w:hint="eastAsia"/>
        <w:sz w:val="17"/>
        <w:szCs w:val="17"/>
      </w:rPr>
      <w:t>期</w:t>
    </w:r>
    <w:r>
      <w:rPr>
        <w:rFonts w:cstheme="minorBidi"/>
      </w:rPr>
      <w:tab/>
    </w:r>
    <w:r>
      <w:rPr>
        <w:rFonts w:cs="方正书宋_GBK" w:hint="eastAsia"/>
        <w:spacing w:val="20"/>
        <w:kern w:val="0"/>
        <w:sz w:val="17"/>
        <w:szCs w:val="17"/>
      </w:rPr>
      <w:t>全球变化数据学报</w:t>
    </w:r>
    <w:r>
      <w:rPr>
        <w:rFonts w:cstheme="minorBidi"/>
      </w:rPr>
      <w:tab/>
    </w:r>
    <w:r>
      <w:rPr>
        <w:sz w:val="17"/>
        <w:szCs w:val="17"/>
      </w:rPr>
      <w:t>Vol.10 No.5</w:t>
    </w:r>
  </w:p>
  <w:p w:rsidR="00B158E6" w:rsidRDefault="00C92DA1" w:rsidP="009A1B3A">
    <w:pPr>
      <w:pStyle w:val="ab"/>
      <w:pBdr>
        <w:bottom w:val="single" w:sz="4" w:space="1" w:color="auto"/>
      </w:pBdr>
      <w:tabs>
        <w:tab w:val="clear" w:pos="4153"/>
        <w:tab w:val="clear" w:pos="8306"/>
        <w:tab w:val="center" w:pos="4200"/>
        <w:tab w:val="right" w:pos="7797"/>
        <w:tab w:val="right" w:pos="9438"/>
        <w:tab w:val="right" w:pos="9744"/>
      </w:tabs>
      <w:spacing w:after="160" w:line="312" w:lineRule="auto"/>
      <w:ind w:left="62" w:firstLineChars="120" w:firstLine="216"/>
      <w:jc w:val="both"/>
      <w:rPr>
        <w:rFonts w:cstheme="minorBidi"/>
        <w:b/>
        <w:bCs/>
        <w:i/>
        <w:iCs/>
        <w:w w:val="130"/>
        <w:sz w:val="17"/>
        <w:szCs w:val="17"/>
      </w:rPr>
    </w:pPr>
    <w:r w:rsidRPr="00C92DA1">
      <w:rPr>
        <w:noProof/>
      </w:rPr>
      <w:pict>
        <v:line id="_x0000_s2049" style="position:absolute;left:0;text-align:left;z-index:1" from="1.6pt,18.95pt" to="398.45pt,18.95pt" strokeweight=".5pt"/>
      </w:pict>
    </w:r>
    <w:r w:rsidR="00B158E6">
      <w:rPr>
        <w:sz w:val="17"/>
        <w:szCs w:val="17"/>
        <w:lang w:val="en-GB"/>
      </w:rPr>
      <w:t>2026</w:t>
    </w:r>
    <w:r w:rsidR="00B158E6">
      <w:rPr>
        <w:rFonts w:cs="方正书宋_GBK" w:hint="eastAsia"/>
        <w:sz w:val="17"/>
        <w:szCs w:val="17"/>
      </w:rPr>
      <w:t>年</w:t>
    </w:r>
    <w:r w:rsidR="00B158E6">
      <w:rPr>
        <w:sz w:val="17"/>
        <w:szCs w:val="17"/>
      </w:rPr>
      <w:t>10</w:t>
    </w:r>
    <w:r w:rsidR="00B158E6">
      <w:rPr>
        <w:rFonts w:cs="方正书宋_GBK" w:hint="eastAsia"/>
        <w:sz w:val="17"/>
        <w:szCs w:val="17"/>
        <w:lang w:val="en-GB"/>
      </w:rPr>
      <w:t>月</w:t>
    </w:r>
    <w:r w:rsidR="00B158E6">
      <w:rPr>
        <w:rFonts w:cstheme="minorBidi"/>
        <w:lang w:val="en-GB"/>
      </w:rPr>
      <w:tab/>
    </w:r>
    <w:r w:rsidR="00B158E6">
      <w:rPr>
        <w:rFonts w:eastAsia="微软雅黑"/>
        <w:color w:val="000000"/>
        <w:sz w:val="16"/>
        <w:szCs w:val="16"/>
      </w:rPr>
      <w:t>Journal of Global Change Data &amp; Discovery</w:t>
    </w:r>
    <w:r w:rsidR="00B158E6">
      <w:rPr>
        <w:rFonts w:cstheme="minorBidi"/>
        <w:lang w:val="en-GB"/>
      </w:rPr>
      <w:tab/>
    </w:r>
    <w:r w:rsidR="00B158E6">
      <w:rPr>
        <w:sz w:val="17"/>
        <w:szCs w:val="17"/>
        <w:lang w:val="en-GB"/>
      </w:rPr>
      <w:t>Oct.</w:t>
    </w:r>
    <w:r w:rsidR="00B158E6">
      <w:rPr>
        <w:sz w:val="17"/>
        <w:szCs w:val="17"/>
      </w:rPr>
      <w:t xml:space="preserve"> 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25673F"/>
    <w:multiLevelType w:val="multilevel"/>
    <w:tmpl w:val="4125673F"/>
    <w:lvl w:ilvl="0">
      <w:start w:val="1"/>
      <w:numFmt w:val="decimal"/>
      <w:lvlText w:val="[%1]"/>
      <w:lvlJc w:val="left"/>
      <w:pPr>
        <w:ind w:left="440" w:hanging="440"/>
      </w:pPr>
      <w:rPr>
        <w:rFonts w:ascii="Times New Roman" w:hAnsi="Times New Roman" w:cs="Times New Roman" w:hint="eastAsia"/>
      </w:rPr>
    </w:lvl>
    <w:lvl w:ilvl="1">
      <w:start w:val="1"/>
      <w:numFmt w:val="lowerLetter"/>
      <w:lvlText w:val="%2)"/>
      <w:lvlJc w:val="left"/>
      <w:pPr>
        <w:ind w:left="880" w:hanging="440"/>
      </w:pPr>
      <w:rPr>
        <w:rFonts w:ascii="Times New Roman" w:hAnsi="Times New Roman" w:cs="Times New Roman"/>
      </w:rPr>
    </w:lvl>
    <w:lvl w:ilvl="2">
      <w:start w:val="1"/>
      <w:numFmt w:val="lowerRoman"/>
      <w:lvlText w:val="%3."/>
      <w:lvlJc w:val="right"/>
      <w:pPr>
        <w:ind w:left="1320" w:hanging="440"/>
      </w:pPr>
      <w:rPr>
        <w:rFonts w:ascii="Times New Roman" w:hAnsi="Times New Roman" w:cs="Times New Roman"/>
      </w:rPr>
    </w:lvl>
    <w:lvl w:ilvl="3">
      <w:start w:val="1"/>
      <w:numFmt w:val="decimal"/>
      <w:lvlText w:val="%4."/>
      <w:lvlJc w:val="left"/>
      <w:pPr>
        <w:ind w:left="1760" w:hanging="440"/>
      </w:pPr>
      <w:rPr>
        <w:rFonts w:ascii="Times New Roman" w:hAnsi="Times New Roman" w:cs="Times New Roman"/>
      </w:rPr>
    </w:lvl>
    <w:lvl w:ilvl="4">
      <w:start w:val="1"/>
      <w:numFmt w:val="lowerLetter"/>
      <w:lvlText w:val="%5)"/>
      <w:lvlJc w:val="left"/>
      <w:pPr>
        <w:ind w:left="2200" w:hanging="440"/>
      </w:pPr>
      <w:rPr>
        <w:rFonts w:ascii="Times New Roman" w:hAnsi="Times New Roman" w:cs="Times New Roman"/>
      </w:rPr>
    </w:lvl>
    <w:lvl w:ilvl="5">
      <w:start w:val="1"/>
      <w:numFmt w:val="lowerRoman"/>
      <w:lvlText w:val="%6."/>
      <w:lvlJc w:val="right"/>
      <w:pPr>
        <w:ind w:left="2640" w:hanging="440"/>
      </w:pPr>
      <w:rPr>
        <w:rFonts w:ascii="Times New Roman" w:hAnsi="Times New Roman" w:cs="Times New Roman"/>
      </w:rPr>
    </w:lvl>
    <w:lvl w:ilvl="6">
      <w:start w:val="1"/>
      <w:numFmt w:val="decimal"/>
      <w:lvlText w:val="%7."/>
      <w:lvlJc w:val="left"/>
      <w:pPr>
        <w:ind w:left="3080" w:hanging="440"/>
      </w:pPr>
      <w:rPr>
        <w:rFonts w:ascii="Times New Roman" w:hAnsi="Times New Roman" w:cs="Times New Roman"/>
      </w:rPr>
    </w:lvl>
    <w:lvl w:ilvl="7">
      <w:start w:val="1"/>
      <w:numFmt w:val="lowerLetter"/>
      <w:lvlText w:val="%8)"/>
      <w:lvlJc w:val="left"/>
      <w:pPr>
        <w:ind w:left="3520" w:hanging="440"/>
      </w:pPr>
      <w:rPr>
        <w:rFonts w:ascii="Times New Roman" w:hAnsi="Times New Roman" w:cs="Times New Roman"/>
      </w:rPr>
    </w:lvl>
    <w:lvl w:ilvl="8">
      <w:start w:val="1"/>
      <w:numFmt w:val="lowerRoman"/>
      <w:lvlText w:val="%9."/>
      <w:lvlJc w:val="right"/>
      <w:pPr>
        <w:ind w:left="3960" w:hanging="440"/>
      </w:pPr>
      <w:rPr>
        <w:rFonts w:ascii="Times New Roman" w:hAnsi="Times New Roman" w:cs="Times New Roman"/>
      </w:rPr>
    </w:lvl>
  </w:abstractNum>
  <w:abstractNum w:abstractNumId="1">
    <w:nsid w:val="5A220384"/>
    <w:multiLevelType w:val="hybridMultilevel"/>
    <w:tmpl w:val="6922DA7A"/>
    <w:lvl w:ilvl="0" w:tplc="9968DA68">
      <w:start w:val="1"/>
      <w:numFmt w:val="decimal"/>
      <w:lvlText w:val="%1."/>
      <w:lvlJc w:val="left"/>
      <w:pPr>
        <w:ind w:left="360" w:hanging="360"/>
      </w:pPr>
      <w:rPr>
        <w:rFonts w:ascii="Times New Roman" w:hAnsi="Times New Roman" w:cs="Times New Roman" w:hint="default"/>
        <w:color w:val="000000"/>
      </w:rPr>
    </w:lvl>
    <w:lvl w:ilvl="1" w:tplc="04090019">
      <w:start w:val="1"/>
      <w:numFmt w:val="lowerLetter"/>
      <w:lvlText w:val="%2)"/>
      <w:lvlJc w:val="left"/>
      <w:pPr>
        <w:ind w:left="880" w:hanging="440"/>
      </w:pPr>
      <w:rPr>
        <w:rFonts w:ascii="Times New Roman" w:hAnsi="Times New Roman" w:cs="Times New Roman"/>
      </w:rPr>
    </w:lvl>
    <w:lvl w:ilvl="2" w:tplc="0409001B">
      <w:start w:val="1"/>
      <w:numFmt w:val="lowerRoman"/>
      <w:lvlText w:val="%3."/>
      <w:lvlJc w:val="right"/>
      <w:pPr>
        <w:ind w:left="1320" w:hanging="440"/>
      </w:pPr>
      <w:rPr>
        <w:rFonts w:ascii="Times New Roman" w:hAnsi="Times New Roman" w:cs="Times New Roman"/>
      </w:rPr>
    </w:lvl>
    <w:lvl w:ilvl="3" w:tplc="0409000F">
      <w:start w:val="1"/>
      <w:numFmt w:val="decimal"/>
      <w:lvlText w:val="%4."/>
      <w:lvlJc w:val="left"/>
      <w:pPr>
        <w:ind w:left="1760" w:hanging="440"/>
      </w:pPr>
      <w:rPr>
        <w:rFonts w:ascii="Times New Roman" w:hAnsi="Times New Roman" w:cs="Times New Roman"/>
      </w:rPr>
    </w:lvl>
    <w:lvl w:ilvl="4" w:tplc="04090019">
      <w:start w:val="1"/>
      <w:numFmt w:val="lowerLetter"/>
      <w:lvlText w:val="%5)"/>
      <w:lvlJc w:val="left"/>
      <w:pPr>
        <w:ind w:left="2200" w:hanging="440"/>
      </w:pPr>
      <w:rPr>
        <w:rFonts w:ascii="Times New Roman" w:hAnsi="Times New Roman" w:cs="Times New Roman"/>
      </w:rPr>
    </w:lvl>
    <w:lvl w:ilvl="5" w:tplc="0409001B">
      <w:start w:val="1"/>
      <w:numFmt w:val="lowerRoman"/>
      <w:lvlText w:val="%6."/>
      <w:lvlJc w:val="right"/>
      <w:pPr>
        <w:ind w:left="2640" w:hanging="440"/>
      </w:pPr>
      <w:rPr>
        <w:rFonts w:ascii="Times New Roman" w:hAnsi="Times New Roman" w:cs="Times New Roman"/>
      </w:rPr>
    </w:lvl>
    <w:lvl w:ilvl="6" w:tplc="0409000F">
      <w:start w:val="1"/>
      <w:numFmt w:val="decimal"/>
      <w:lvlText w:val="%7."/>
      <w:lvlJc w:val="left"/>
      <w:pPr>
        <w:ind w:left="3080" w:hanging="440"/>
      </w:pPr>
      <w:rPr>
        <w:rFonts w:ascii="Times New Roman" w:hAnsi="Times New Roman" w:cs="Times New Roman"/>
      </w:rPr>
    </w:lvl>
    <w:lvl w:ilvl="7" w:tplc="04090019">
      <w:start w:val="1"/>
      <w:numFmt w:val="lowerLetter"/>
      <w:lvlText w:val="%8)"/>
      <w:lvlJc w:val="left"/>
      <w:pPr>
        <w:ind w:left="3520" w:hanging="440"/>
      </w:pPr>
      <w:rPr>
        <w:rFonts w:ascii="Times New Roman" w:hAnsi="Times New Roman" w:cs="Times New Roman"/>
      </w:rPr>
    </w:lvl>
    <w:lvl w:ilvl="8" w:tplc="0409001B">
      <w:start w:val="1"/>
      <w:numFmt w:val="lowerRoman"/>
      <w:lvlText w:val="%9."/>
      <w:lvlJc w:val="right"/>
      <w:pPr>
        <w:ind w:left="3960" w:hanging="440"/>
      </w:pPr>
      <w:rPr>
        <w:rFonts w:ascii="Times New Roman" w:hAnsi="Times New Roman" w:cs="Times New Roman"/>
      </w:rPr>
    </w:lvl>
  </w:abstractNum>
  <w:abstractNum w:abstractNumId="2">
    <w:nsid w:val="5B26084E"/>
    <w:multiLevelType w:val="hybridMultilevel"/>
    <w:tmpl w:val="AF665F20"/>
    <w:lvl w:ilvl="0" w:tplc="D8106272">
      <w:start w:val="1"/>
      <w:numFmt w:val="decimal"/>
      <w:lvlText w:val="[%1]"/>
      <w:lvlJc w:val="right"/>
      <w:pPr>
        <w:tabs>
          <w:tab w:val="num" w:pos="420"/>
        </w:tabs>
        <w:ind w:left="420" w:hanging="132"/>
      </w:pPr>
      <w:rPr>
        <w:rFonts w:ascii="Times New Roman" w:hAnsi="Times New Roman" w:cs="Times New Roman" w:hint="eastAsia"/>
      </w:rPr>
    </w:lvl>
    <w:lvl w:ilvl="1" w:tplc="04090019">
      <w:start w:val="1"/>
      <w:numFmt w:val="lowerLetter"/>
      <w:lvlText w:val="%2)"/>
      <w:lvlJc w:val="left"/>
      <w:pPr>
        <w:tabs>
          <w:tab w:val="num" w:pos="840"/>
        </w:tabs>
        <w:ind w:left="840" w:hanging="420"/>
      </w:pPr>
      <w:rPr>
        <w:rFonts w:ascii="Times New Roman" w:hAnsi="Times New Roman" w:cs="Times New Roman"/>
      </w:rPr>
    </w:lvl>
    <w:lvl w:ilvl="2" w:tplc="0409001B">
      <w:start w:val="1"/>
      <w:numFmt w:val="lowerRoman"/>
      <w:lvlText w:val="%3."/>
      <w:lvlJc w:val="right"/>
      <w:pPr>
        <w:tabs>
          <w:tab w:val="num" w:pos="1260"/>
        </w:tabs>
        <w:ind w:left="1260" w:hanging="420"/>
      </w:pPr>
      <w:rPr>
        <w:rFonts w:ascii="Times New Roman" w:hAnsi="Times New Roman" w:cs="Times New Roman"/>
      </w:rPr>
    </w:lvl>
    <w:lvl w:ilvl="3" w:tplc="0409000F">
      <w:start w:val="1"/>
      <w:numFmt w:val="decimal"/>
      <w:lvlText w:val="%4."/>
      <w:lvlJc w:val="left"/>
      <w:pPr>
        <w:tabs>
          <w:tab w:val="num" w:pos="1680"/>
        </w:tabs>
        <w:ind w:left="1680" w:hanging="420"/>
      </w:pPr>
      <w:rPr>
        <w:rFonts w:ascii="Times New Roman" w:hAnsi="Times New Roman" w:cs="Times New Roman"/>
      </w:rPr>
    </w:lvl>
    <w:lvl w:ilvl="4" w:tplc="04090019">
      <w:start w:val="1"/>
      <w:numFmt w:val="lowerLetter"/>
      <w:lvlText w:val="%5)"/>
      <w:lvlJc w:val="left"/>
      <w:pPr>
        <w:tabs>
          <w:tab w:val="num" w:pos="2100"/>
        </w:tabs>
        <w:ind w:left="2100" w:hanging="420"/>
      </w:pPr>
      <w:rPr>
        <w:rFonts w:ascii="Times New Roman" w:hAnsi="Times New Roman" w:cs="Times New Roman"/>
      </w:rPr>
    </w:lvl>
    <w:lvl w:ilvl="5" w:tplc="0409001B">
      <w:start w:val="1"/>
      <w:numFmt w:val="lowerRoman"/>
      <w:lvlText w:val="%6."/>
      <w:lvlJc w:val="right"/>
      <w:pPr>
        <w:tabs>
          <w:tab w:val="num" w:pos="2520"/>
        </w:tabs>
        <w:ind w:left="2520" w:hanging="420"/>
      </w:pPr>
      <w:rPr>
        <w:rFonts w:ascii="Times New Roman" w:hAnsi="Times New Roman" w:cs="Times New Roman"/>
      </w:rPr>
    </w:lvl>
    <w:lvl w:ilvl="6" w:tplc="0409000F">
      <w:start w:val="1"/>
      <w:numFmt w:val="decimal"/>
      <w:lvlText w:val="%7."/>
      <w:lvlJc w:val="left"/>
      <w:pPr>
        <w:tabs>
          <w:tab w:val="num" w:pos="2940"/>
        </w:tabs>
        <w:ind w:left="2940" w:hanging="420"/>
      </w:pPr>
      <w:rPr>
        <w:rFonts w:ascii="Times New Roman" w:hAnsi="Times New Roman" w:cs="Times New Roman"/>
      </w:rPr>
    </w:lvl>
    <w:lvl w:ilvl="7" w:tplc="04090019">
      <w:start w:val="1"/>
      <w:numFmt w:val="lowerLetter"/>
      <w:lvlText w:val="%8)"/>
      <w:lvlJc w:val="left"/>
      <w:pPr>
        <w:tabs>
          <w:tab w:val="num" w:pos="3360"/>
        </w:tabs>
        <w:ind w:left="3360" w:hanging="420"/>
      </w:pPr>
      <w:rPr>
        <w:rFonts w:ascii="Times New Roman" w:hAnsi="Times New Roman" w:cs="Times New Roman"/>
      </w:rPr>
    </w:lvl>
    <w:lvl w:ilvl="8" w:tplc="0409001B">
      <w:start w:val="1"/>
      <w:numFmt w:val="lowerRoman"/>
      <w:lvlText w:val="%9."/>
      <w:lvlJc w:val="right"/>
      <w:pPr>
        <w:tabs>
          <w:tab w:val="num" w:pos="3780"/>
        </w:tabs>
        <w:ind w:left="3780" w:hanging="420"/>
      </w:pPr>
      <w:rPr>
        <w:rFonts w:ascii="Times New Roman" w:hAnsi="Times New Roman" w:cs="Times New Roman"/>
      </w:rPr>
    </w:lvl>
  </w:abstractNum>
  <w:abstractNum w:abstractNumId="3">
    <w:nsid w:val="664B0F7A"/>
    <w:multiLevelType w:val="multilevel"/>
    <w:tmpl w:val="664B0F7A"/>
    <w:lvl w:ilvl="0">
      <w:start w:val="1"/>
      <w:numFmt w:val="decimal"/>
      <w:lvlText w:val="[%1]"/>
      <w:lvlJc w:val="right"/>
      <w:pPr>
        <w:tabs>
          <w:tab w:val="num" w:pos="397"/>
        </w:tabs>
        <w:ind w:left="397" w:hanging="113"/>
      </w:pPr>
      <w:rPr>
        <w:rFonts w:ascii="Times New Roman" w:hAnsi="Times New Roman" w:cs="Times New Roman" w:hint="eastAsia"/>
        <w:color w:val="auto"/>
      </w:rPr>
    </w:lvl>
    <w:lvl w:ilvl="1">
      <w:start w:val="1"/>
      <w:numFmt w:val="lowerLetter"/>
      <w:pStyle w:val="a"/>
      <w:lvlText w:val="%2)"/>
      <w:lvlJc w:val="left"/>
      <w:pPr>
        <w:tabs>
          <w:tab w:val="num" w:pos="840"/>
        </w:tabs>
        <w:ind w:left="840" w:hanging="420"/>
      </w:pPr>
      <w:rPr>
        <w:rFonts w:ascii="Times New Roman" w:hAnsi="Times New Roman" w:cs="Times New Roman"/>
      </w:rPr>
    </w:lvl>
    <w:lvl w:ilvl="2">
      <w:start w:val="1"/>
      <w:numFmt w:val="lowerRoman"/>
      <w:lvlText w:val="%3."/>
      <w:lvlJc w:val="right"/>
      <w:pPr>
        <w:tabs>
          <w:tab w:val="num" w:pos="1260"/>
        </w:tabs>
        <w:ind w:left="1260" w:hanging="420"/>
      </w:pPr>
      <w:rPr>
        <w:rFonts w:ascii="Times New Roman" w:hAnsi="Times New Roman" w:cs="Times New Roman"/>
      </w:rPr>
    </w:lvl>
    <w:lvl w:ilvl="3">
      <w:start w:val="1"/>
      <w:numFmt w:val="decimal"/>
      <w:lvlText w:val="%4."/>
      <w:lvlJc w:val="left"/>
      <w:pPr>
        <w:tabs>
          <w:tab w:val="num" w:pos="1680"/>
        </w:tabs>
        <w:ind w:left="1680" w:hanging="420"/>
      </w:pPr>
      <w:rPr>
        <w:rFonts w:ascii="Times New Roman" w:hAnsi="Times New Roman" w:cs="Times New Roman"/>
      </w:rPr>
    </w:lvl>
    <w:lvl w:ilvl="4">
      <w:start w:val="1"/>
      <w:numFmt w:val="lowerLetter"/>
      <w:lvlText w:val="%5)"/>
      <w:lvlJc w:val="left"/>
      <w:pPr>
        <w:tabs>
          <w:tab w:val="num" w:pos="2100"/>
        </w:tabs>
        <w:ind w:left="2100" w:hanging="420"/>
      </w:pPr>
      <w:rPr>
        <w:rFonts w:ascii="Times New Roman" w:hAnsi="Times New Roman" w:cs="Times New Roman"/>
      </w:rPr>
    </w:lvl>
    <w:lvl w:ilvl="5">
      <w:start w:val="1"/>
      <w:numFmt w:val="lowerRoman"/>
      <w:lvlText w:val="%6."/>
      <w:lvlJc w:val="right"/>
      <w:pPr>
        <w:tabs>
          <w:tab w:val="num" w:pos="2520"/>
        </w:tabs>
        <w:ind w:left="2520" w:hanging="420"/>
      </w:pPr>
      <w:rPr>
        <w:rFonts w:ascii="Times New Roman" w:hAnsi="Times New Roman" w:cs="Times New Roman"/>
      </w:rPr>
    </w:lvl>
    <w:lvl w:ilvl="6">
      <w:start w:val="1"/>
      <w:numFmt w:val="decimal"/>
      <w:lvlText w:val="%7."/>
      <w:lvlJc w:val="left"/>
      <w:pPr>
        <w:tabs>
          <w:tab w:val="num" w:pos="2940"/>
        </w:tabs>
        <w:ind w:left="2940" w:hanging="420"/>
      </w:pPr>
      <w:rPr>
        <w:rFonts w:ascii="Times New Roman" w:hAnsi="Times New Roman" w:cs="Times New Roman"/>
      </w:rPr>
    </w:lvl>
    <w:lvl w:ilvl="7">
      <w:start w:val="1"/>
      <w:numFmt w:val="lowerLetter"/>
      <w:lvlText w:val="%8)"/>
      <w:lvlJc w:val="left"/>
      <w:pPr>
        <w:tabs>
          <w:tab w:val="num" w:pos="3360"/>
        </w:tabs>
        <w:ind w:left="3360" w:hanging="420"/>
      </w:pPr>
      <w:rPr>
        <w:rFonts w:ascii="Times New Roman" w:hAnsi="Times New Roman" w:cs="Times New Roman"/>
      </w:rPr>
    </w:lvl>
    <w:lvl w:ilvl="8">
      <w:start w:val="1"/>
      <w:numFmt w:val="lowerRoman"/>
      <w:lvlText w:val="%9."/>
      <w:lvlJc w:val="right"/>
      <w:pPr>
        <w:tabs>
          <w:tab w:val="num" w:pos="3780"/>
        </w:tabs>
        <w:ind w:left="3780" w:hanging="420"/>
      </w:pPr>
      <w:rPr>
        <w:rFonts w:ascii="Times New Roman" w:hAnsi="Times New Roman" w:cs="Times New Roman"/>
      </w:rPr>
    </w:lvl>
  </w:abstractNum>
  <w:abstractNum w:abstractNumId="4">
    <w:nsid w:val="75010107"/>
    <w:multiLevelType w:val="hybridMultilevel"/>
    <w:tmpl w:val="4EB4B140"/>
    <w:lvl w:ilvl="0" w:tplc="40B6E428">
      <w:start w:val="1"/>
      <w:numFmt w:val="decimal"/>
      <w:lvlText w:val="[%1]"/>
      <w:lvlJc w:val="left"/>
      <w:pPr>
        <w:ind w:left="420" w:hanging="420"/>
      </w:pPr>
      <w:rPr>
        <w:rFonts w:ascii="Times New Roman" w:eastAsia="宋体" w:hAnsi="Times New Roman" w:hint="default"/>
        <w:b w:val="0"/>
        <w:bCs w:val="0"/>
      </w:rPr>
    </w:lvl>
    <w:lvl w:ilvl="1" w:tplc="04090019">
      <w:start w:val="1"/>
      <w:numFmt w:val="lowerLetter"/>
      <w:lvlText w:val="%2)"/>
      <w:lvlJc w:val="left"/>
      <w:pPr>
        <w:ind w:left="840" w:hanging="420"/>
      </w:pPr>
      <w:rPr>
        <w:rFonts w:ascii="Times New Roman" w:hAnsi="Times New Roman" w:cs="Times New Roman"/>
      </w:rPr>
    </w:lvl>
    <w:lvl w:ilvl="2" w:tplc="0409001B">
      <w:start w:val="1"/>
      <w:numFmt w:val="lowerRoman"/>
      <w:lvlText w:val="%3."/>
      <w:lvlJc w:val="right"/>
      <w:pPr>
        <w:ind w:left="1260" w:hanging="420"/>
      </w:pPr>
      <w:rPr>
        <w:rFonts w:ascii="Times New Roman" w:hAnsi="Times New Roman" w:cs="Times New Roman"/>
      </w:rPr>
    </w:lvl>
    <w:lvl w:ilvl="3" w:tplc="0409000F">
      <w:start w:val="1"/>
      <w:numFmt w:val="decimal"/>
      <w:lvlText w:val="%4."/>
      <w:lvlJc w:val="left"/>
      <w:pPr>
        <w:ind w:left="1680" w:hanging="420"/>
      </w:pPr>
      <w:rPr>
        <w:rFonts w:ascii="Times New Roman" w:hAnsi="Times New Roman" w:cs="Times New Roman"/>
      </w:rPr>
    </w:lvl>
    <w:lvl w:ilvl="4" w:tplc="04090019">
      <w:start w:val="1"/>
      <w:numFmt w:val="lowerLetter"/>
      <w:lvlText w:val="%5)"/>
      <w:lvlJc w:val="left"/>
      <w:pPr>
        <w:ind w:left="2100" w:hanging="420"/>
      </w:pPr>
      <w:rPr>
        <w:rFonts w:ascii="Times New Roman" w:hAnsi="Times New Roman" w:cs="Times New Roman"/>
      </w:rPr>
    </w:lvl>
    <w:lvl w:ilvl="5" w:tplc="0409001B">
      <w:start w:val="1"/>
      <w:numFmt w:val="lowerRoman"/>
      <w:lvlText w:val="%6."/>
      <w:lvlJc w:val="right"/>
      <w:pPr>
        <w:ind w:left="2520" w:hanging="420"/>
      </w:pPr>
      <w:rPr>
        <w:rFonts w:ascii="Times New Roman" w:hAnsi="Times New Roman" w:cs="Times New Roman"/>
      </w:rPr>
    </w:lvl>
    <w:lvl w:ilvl="6" w:tplc="0409000F">
      <w:start w:val="1"/>
      <w:numFmt w:val="decimal"/>
      <w:lvlText w:val="%7."/>
      <w:lvlJc w:val="left"/>
      <w:pPr>
        <w:ind w:left="2940" w:hanging="420"/>
      </w:pPr>
      <w:rPr>
        <w:rFonts w:ascii="Times New Roman" w:hAnsi="Times New Roman" w:cs="Times New Roman"/>
      </w:rPr>
    </w:lvl>
    <w:lvl w:ilvl="7" w:tplc="04090019">
      <w:start w:val="1"/>
      <w:numFmt w:val="lowerLetter"/>
      <w:lvlText w:val="%8)"/>
      <w:lvlJc w:val="left"/>
      <w:pPr>
        <w:ind w:left="3360" w:hanging="420"/>
      </w:pPr>
      <w:rPr>
        <w:rFonts w:ascii="Times New Roman" w:hAnsi="Times New Roman" w:cs="Times New Roman"/>
      </w:rPr>
    </w:lvl>
    <w:lvl w:ilvl="8" w:tplc="0409001B">
      <w:start w:val="1"/>
      <w:numFmt w:val="lowerRoman"/>
      <w:lvlText w:val="%9."/>
      <w:lvlJc w:val="right"/>
      <w:pPr>
        <w:ind w:left="3780" w:hanging="420"/>
      </w:pPr>
      <w:rPr>
        <w:rFonts w:ascii="Times New Roman" w:hAnsi="Times New Roman" w:cs="Times New Roman"/>
      </w:rPr>
    </w:lvl>
  </w:abstractNum>
  <w:abstractNum w:abstractNumId="5">
    <w:nsid w:val="77513BF8"/>
    <w:multiLevelType w:val="multilevel"/>
    <w:tmpl w:val="77513BF8"/>
    <w:lvl w:ilvl="0">
      <w:start w:val="1"/>
      <w:numFmt w:val="decimal"/>
      <w:pStyle w:val="a0"/>
      <w:lvlText w:val="[%1]"/>
      <w:lvlJc w:val="left"/>
      <w:pPr>
        <w:tabs>
          <w:tab w:val="num" w:pos="720"/>
        </w:tabs>
      </w:pPr>
      <w:rPr>
        <w:rFonts w:ascii="Times New Roman" w:hAnsi="Times New Roman" w:cs="Times New Roman" w:hint="default"/>
        <w:color w:val="auto"/>
      </w:rPr>
    </w:lvl>
    <w:lvl w:ilvl="1">
      <w:start w:val="1"/>
      <w:numFmt w:val="lowerLetter"/>
      <w:lvlText w:val="%2)"/>
      <w:lvlJc w:val="left"/>
      <w:pPr>
        <w:tabs>
          <w:tab w:val="num" w:pos="840"/>
        </w:tabs>
        <w:ind w:left="840" w:hanging="420"/>
      </w:pPr>
      <w:rPr>
        <w:rFonts w:ascii="Times New Roman" w:hAnsi="Times New Roman" w:cs="Times New Roman"/>
      </w:rPr>
    </w:lvl>
    <w:lvl w:ilvl="2">
      <w:start w:val="1"/>
      <w:numFmt w:val="lowerRoman"/>
      <w:lvlText w:val="%3."/>
      <w:lvlJc w:val="right"/>
      <w:pPr>
        <w:tabs>
          <w:tab w:val="num" w:pos="1260"/>
        </w:tabs>
        <w:ind w:left="1260" w:hanging="420"/>
      </w:pPr>
      <w:rPr>
        <w:rFonts w:ascii="Times New Roman" w:hAnsi="Times New Roman" w:cs="Times New Roman"/>
      </w:rPr>
    </w:lvl>
    <w:lvl w:ilvl="3">
      <w:start w:val="1"/>
      <w:numFmt w:val="decimal"/>
      <w:lvlText w:val="%4."/>
      <w:lvlJc w:val="left"/>
      <w:pPr>
        <w:tabs>
          <w:tab w:val="num" w:pos="1680"/>
        </w:tabs>
        <w:ind w:left="1680" w:hanging="420"/>
      </w:pPr>
      <w:rPr>
        <w:rFonts w:ascii="Times New Roman" w:hAnsi="Times New Roman" w:cs="Times New Roman"/>
      </w:rPr>
    </w:lvl>
    <w:lvl w:ilvl="4">
      <w:start w:val="1"/>
      <w:numFmt w:val="lowerLetter"/>
      <w:lvlText w:val="%5)"/>
      <w:lvlJc w:val="left"/>
      <w:pPr>
        <w:tabs>
          <w:tab w:val="num" w:pos="2100"/>
        </w:tabs>
        <w:ind w:left="2100" w:hanging="420"/>
      </w:pPr>
      <w:rPr>
        <w:rFonts w:ascii="Times New Roman" w:hAnsi="Times New Roman" w:cs="Times New Roman"/>
      </w:rPr>
    </w:lvl>
    <w:lvl w:ilvl="5">
      <w:start w:val="1"/>
      <w:numFmt w:val="lowerRoman"/>
      <w:lvlText w:val="%6."/>
      <w:lvlJc w:val="right"/>
      <w:pPr>
        <w:tabs>
          <w:tab w:val="num" w:pos="2520"/>
        </w:tabs>
        <w:ind w:left="2520" w:hanging="420"/>
      </w:pPr>
      <w:rPr>
        <w:rFonts w:ascii="Times New Roman" w:hAnsi="Times New Roman" w:cs="Times New Roman"/>
      </w:rPr>
    </w:lvl>
    <w:lvl w:ilvl="6">
      <w:start w:val="1"/>
      <w:numFmt w:val="decimal"/>
      <w:lvlText w:val="%7."/>
      <w:lvlJc w:val="left"/>
      <w:pPr>
        <w:tabs>
          <w:tab w:val="num" w:pos="2940"/>
        </w:tabs>
        <w:ind w:left="2940" w:hanging="420"/>
      </w:pPr>
      <w:rPr>
        <w:rFonts w:ascii="Times New Roman" w:hAnsi="Times New Roman" w:cs="Times New Roman"/>
      </w:rPr>
    </w:lvl>
    <w:lvl w:ilvl="7">
      <w:start w:val="1"/>
      <w:numFmt w:val="lowerLetter"/>
      <w:lvlText w:val="%8)"/>
      <w:lvlJc w:val="left"/>
      <w:pPr>
        <w:tabs>
          <w:tab w:val="num" w:pos="3360"/>
        </w:tabs>
        <w:ind w:left="3360" w:hanging="420"/>
      </w:pPr>
      <w:rPr>
        <w:rFonts w:ascii="Times New Roman" w:hAnsi="Times New Roman" w:cs="Times New Roman"/>
      </w:rPr>
    </w:lvl>
    <w:lvl w:ilvl="8">
      <w:start w:val="1"/>
      <w:numFmt w:val="lowerRoman"/>
      <w:lvlText w:val="%9."/>
      <w:lvlJc w:val="right"/>
      <w:pPr>
        <w:tabs>
          <w:tab w:val="num" w:pos="3780"/>
        </w:tabs>
        <w:ind w:left="3780" w:hanging="420"/>
      </w:pPr>
      <w:rPr>
        <w:rFonts w:ascii="Times New Roman" w:hAnsi="Times New Roman" w:cs="Times New Roman"/>
      </w:rPr>
    </w:lvl>
  </w:abstractNum>
  <w:abstractNum w:abstractNumId="6">
    <w:nsid w:val="7AEF778B"/>
    <w:multiLevelType w:val="multilevel"/>
    <w:tmpl w:val="7AEF778B"/>
    <w:lvl w:ilvl="0">
      <w:start w:val="1"/>
      <w:numFmt w:val="decimal"/>
      <w:lvlText w:val="[%1]"/>
      <w:lvlJc w:val="left"/>
      <w:pPr>
        <w:ind w:left="420" w:hanging="420"/>
      </w:pPr>
      <w:rPr>
        <w:rFonts w:ascii="Times New Roman" w:hAnsi="Times New Roman" w:cs="Times New Roman" w:hint="eastAsia"/>
        <w:color w:val="auto"/>
      </w:rPr>
    </w:lvl>
    <w:lvl w:ilvl="1">
      <w:start w:val="1"/>
      <w:numFmt w:val="lowerLetter"/>
      <w:lvlText w:val="%2)"/>
      <w:lvlJc w:val="left"/>
      <w:pPr>
        <w:ind w:left="840" w:hanging="420"/>
      </w:pPr>
      <w:rPr>
        <w:rFonts w:ascii="Times New Roman" w:hAnsi="Times New Roman" w:cs="Times New Roman"/>
      </w:rPr>
    </w:lvl>
    <w:lvl w:ilvl="2">
      <w:start w:val="1"/>
      <w:numFmt w:val="lowerRoman"/>
      <w:lvlText w:val="%3."/>
      <w:lvlJc w:val="right"/>
      <w:pPr>
        <w:ind w:left="1260" w:hanging="420"/>
      </w:pPr>
      <w:rPr>
        <w:rFonts w:ascii="Times New Roman" w:hAnsi="Times New Roman" w:cs="Times New Roman"/>
      </w:rPr>
    </w:lvl>
    <w:lvl w:ilvl="3">
      <w:start w:val="1"/>
      <w:numFmt w:val="decimal"/>
      <w:lvlText w:val="%4."/>
      <w:lvlJc w:val="left"/>
      <w:pPr>
        <w:ind w:left="1680" w:hanging="420"/>
      </w:pPr>
      <w:rPr>
        <w:rFonts w:ascii="Times New Roman" w:hAnsi="Times New Roman" w:cs="Times New Roman"/>
      </w:rPr>
    </w:lvl>
    <w:lvl w:ilvl="4">
      <w:start w:val="1"/>
      <w:numFmt w:val="lowerLetter"/>
      <w:lvlText w:val="%5)"/>
      <w:lvlJc w:val="left"/>
      <w:pPr>
        <w:ind w:left="2100" w:hanging="420"/>
      </w:pPr>
      <w:rPr>
        <w:rFonts w:ascii="Times New Roman" w:hAnsi="Times New Roman" w:cs="Times New Roman"/>
      </w:rPr>
    </w:lvl>
    <w:lvl w:ilvl="5">
      <w:start w:val="1"/>
      <w:numFmt w:val="lowerRoman"/>
      <w:lvlText w:val="%6."/>
      <w:lvlJc w:val="right"/>
      <w:pPr>
        <w:ind w:left="2520" w:hanging="420"/>
      </w:pPr>
      <w:rPr>
        <w:rFonts w:ascii="Times New Roman" w:hAnsi="Times New Roman" w:cs="Times New Roman"/>
      </w:rPr>
    </w:lvl>
    <w:lvl w:ilvl="6">
      <w:start w:val="1"/>
      <w:numFmt w:val="decimal"/>
      <w:lvlText w:val="%7."/>
      <w:lvlJc w:val="left"/>
      <w:pPr>
        <w:ind w:left="2940" w:hanging="420"/>
      </w:pPr>
      <w:rPr>
        <w:rFonts w:ascii="Times New Roman" w:hAnsi="Times New Roman" w:cs="Times New Roman"/>
      </w:rPr>
    </w:lvl>
    <w:lvl w:ilvl="7">
      <w:start w:val="1"/>
      <w:numFmt w:val="lowerLetter"/>
      <w:lvlText w:val="%8)"/>
      <w:lvlJc w:val="left"/>
      <w:pPr>
        <w:ind w:left="3360" w:hanging="420"/>
      </w:pPr>
      <w:rPr>
        <w:rFonts w:ascii="Times New Roman" w:hAnsi="Times New Roman" w:cs="Times New Roman"/>
      </w:rPr>
    </w:lvl>
    <w:lvl w:ilvl="8">
      <w:start w:val="1"/>
      <w:numFmt w:val="lowerRoman"/>
      <w:lvlText w:val="%9."/>
      <w:lvlJc w:val="right"/>
      <w:pPr>
        <w:ind w:left="3780" w:hanging="420"/>
      </w:pPr>
      <w:rPr>
        <w:rFonts w:ascii="Times New Roman" w:hAnsi="Times New Roman" w:cs="Times New Roman"/>
      </w:rPr>
    </w:lvl>
  </w:abstractNum>
  <w:num w:numId="1">
    <w:abstractNumId w:val="5"/>
  </w:num>
  <w:num w:numId="2">
    <w:abstractNumId w:val="3"/>
  </w:num>
  <w:num w:numId="3">
    <w:abstractNumId w:val="6"/>
  </w:num>
  <w:num w:numId="4">
    <w:abstractNumId w:val="2"/>
  </w:num>
  <w:num w:numId="5">
    <w:abstractNumId w:val="4"/>
  </w:num>
  <w:num w:numId="6">
    <w:abstractNumId w:val="5"/>
  </w:num>
  <w:num w:numId="7">
    <w:abstractNumId w:val="0"/>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oNotTrackMoves/>
  <w:defaultTabStop w:val="425"/>
  <w:autoHyphenation/>
  <w:hyphenationZone w:val="357"/>
  <w:doNotHyphenateCaps/>
  <w:evenAndOddHeaders/>
  <w:drawingGridHorizontalSpacing w:val="6"/>
  <w:drawingGridVerticalSpacing w:val="6"/>
  <w:displayHorizontalDrawingGridEvery w:val="0"/>
  <w:displayVerticalDrawingGridEvery w:val="2"/>
  <w:characterSpacingControl w:val="compressPunctuation"/>
  <w:noLineBreaksAfter w:lang="zh-CN" w:val="$([{£¥·‘“〈《「『【〔〖〝﹙﹛﹝＄（．［｛￡￥"/>
  <w:noLineBreaksBefore w:lang="zh-CN" w:val="!%'),.57:;&gt;?]bc}¢¨°·ˇˉ‐―‖’”…‰′″›℃∶、。〃〉》」』】〕〗〞︶︺︾﹀﹄﹚﹜！＂％＇），．：；？］｀｜｝～￠"/>
  <w:doNotValidateAgainstSchema/>
  <w:doNotDemarcateInvalidXml/>
  <w:hdrShapeDefaults>
    <o:shapedefaults v:ext="edit" spidmax="4098"/>
    <o:shapelayout v:ext="edit">
      <o:idmap v:ext="edit" data="2"/>
    </o:shapelayout>
  </w:hdrShapeDefaults>
  <w:footnotePr>
    <w:footnote w:id="-1"/>
    <w:footnote w:id="0"/>
    <w:footnote w:id="1"/>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158E6"/>
    <w:rsid w:val="009A1B3A"/>
    <w:rsid w:val="00B158E6"/>
    <w:rsid w:val="00B61D5D"/>
    <w:rsid w:val="00C92DA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uiPriority="9" w:unhideWhenUsed="1" w:qFormat="1"/>
    <w:lsdException w:name="heading 7" w:semiHidden="0" w:qFormat="1"/>
    <w:lsdException w:name="heading 8" w:uiPriority="9" w:unhideWhenUsed="1"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index heading" w:unhideWhenUsed="1"/>
    <w:lsdException w:name="caption" w:uiPriority="35" w:unhideWhenUsed="1" w:qFormat="1"/>
    <w:lsdException w:name="envelope address" w:unhideWhenUsed="1"/>
    <w:lsdException w:name="envelope return" w:unhideWhenUsed="1"/>
    <w:lsdException w:name="lin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FollowedHyperlink" w:unhideWhenUsed="1"/>
    <w:lsdException w:name="Strong" w:semiHidden="0" w:qFormat="1"/>
    <w:lsdException w:name="Emphasis" w:semiHidden="0" w:uiPriority="20" w:qFormat="1"/>
    <w:lsdException w:name="Document Map" w:unhideWhenUsed="1"/>
    <w:lsdException w:name="E-mail Signature" w:unhideWhenUsed="1"/>
    <w:lsdException w:name="HTML Top of Form" w:unhideWhenUsed="1"/>
    <w:lsdException w:name="HTML Bottom of Form"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1">
    <w:name w:val="Normal"/>
    <w:qFormat/>
    <w:rsid w:val="00C92DA1"/>
    <w:pPr>
      <w:widowControl w:val="0"/>
      <w:adjustRightInd w:val="0"/>
      <w:snapToGrid w:val="0"/>
      <w:spacing w:line="266" w:lineRule="auto"/>
      <w:ind w:firstLine="425"/>
      <w:jc w:val="both"/>
    </w:pPr>
    <w:rPr>
      <w:rFonts w:ascii="Times New Roman" w:eastAsia="方正书宋_GBK" w:hAnsi="Times New Roman"/>
      <w:kern w:val="2"/>
    </w:rPr>
  </w:style>
  <w:style w:type="paragraph" w:styleId="1">
    <w:name w:val="heading 1"/>
    <w:basedOn w:val="a1"/>
    <w:next w:val="a1"/>
    <w:link w:val="1Char"/>
    <w:uiPriority w:val="99"/>
    <w:qFormat/>
    <w:rsid w:val="00C92DA1"/>
    <w:pPr>
      <w:keepNext/>
      <w:keepLines/>
      <w:spacing w:before="760" w:after="280"/>
      <w:ind w:firstLine="0"/>
      <w:outlineLvl w:val="0"/>
    </w:pPr>
    <w:rPr>
      <w:b/>
      <w:bCs/>
      <w:kern w:val="44"/>
      <w:sz w:val="44"/>
      <w:szCs w:val="44"/>
    </w:rPr>
  </w:style>
  <w:style w:type="paragraph" w:styleId="2">
    <w:name w:val="heading 2"/>
    <w:basedOn w:val="a1"/>
    <w:next w:val="a1"/>
    <w:link w:val="2Char"/>
    <w:uiPriority w:val="99"/>
    <w:qFormat/>
    <w:rsid w:val="00C92DA1"/>
    <w:pPr>
      <w:keepNext/>
      <w:keepLines/>
      <w:spacing w:before="260" w:after="120"/>
      <w:ind w:firstLine="0"/>
      <w:outlineLvl w:val="1"/>
    </w:pPr>
    <w:rPr>
      <w:rFonts w:ascii="Cambria" w:eastAsia="宋体" w:hAnsi="Cambria" w:cs="Cambria"/>
      <w:b/>
      <w:bCs/>
      <w:kern w:val="0"/>
      <w:sz w:val="32"/>
      <w:szCs w:val="32"/>
    </w:rPr>
  </w:style>
  <w:style w:type="paragraph" w:styleId="3">
    <w:name w:val="heading 3"/>
    <w:basedOn w:val="a1"/>
    <w:next w:val="a1"/>
    <w:link w:val="3Char"/>
    <w:uiPriority w:val="99"/>
    <w:qFormat/>
    <w:rsid w:val="00C92DA1"/>
    <w:pPr>
      <w:keepNext/>
      <w:keepLines/>
      <w:spacing w:before="160" w:after="160"/>
      <w:ind w:firstLine="0"/>
      <w:outlineLvl w:val="2"/>
    </w:pPr>
    <w:rPr>
      <w:b/>
      <w:bCs/>
      <w:kern w:val="0"/>
      <w:sz w:val="23"/>
      <w:szCs w:val="23"/>
    </w:rPr>
  </w:style>
  <w:style w:type="paragraph" w:styleId="4">
    <w:name w:val="heading 4"/>
    <w:basedOn w:val="a1"/>
    <w:next w:val="a1"/>
    <w:link w:val="4Char"/>
    <w:uiPriority w:val="99"/>
    <w:qFormat/>
    <w:rsid w:val="00C92DA1"/>
    <w:pPr>
      <w:keepNext/>
      <w:spacing w:line="257" w:lineRule="auto"/>
      <w:ind w:firstLine="0"/>
      <w:jc w:val="left"/>
      <w:outlineLvl w:val="3"/>
    </w:pPr>
    <w:rPr>
      <w:rFonts w:ascii="Cambria" w:eastAsia="宋体" w:hAnsi="Cambria" w:cs="Cambria"/>
      <w:b/>
      <w:bCs/>
      <w:kern w:val="0"/>
      <w:sz w:val="28"/>
      <w:szCs w:val="28"/>
    </w:rPr>
  </w:style>
  <w:style w:type="paragraph" w:styleId="5">
    <w:name w:val="heading 5"/>
    <w:basedOn w:val="a1"/>
    <w:next w:val="a1"/>
    <w:link w:val="5Char"/>
    <w:uiPriority w:val="99"/>
    <w:qFormat/>
    <w:rsid w:val="00C92DA1"/>
    <w:pPr>
      <w:keepNext/>
      <w:keepLines/>
      <w:spacing w:before="280"/>
      <w:ind w:firstLine="0"/>
      <w:outlineLvl w:val="4"/>
    </w:pPr>
    <w:rPr>
      <w:b/>
      <w:bCs/>
      <w:kern w:val="0"/>
      <w:sz w:val="28"/>
      <w:szCs w:val="28"/>
    </w:rPr>
  </w:style>
  <w:style w:type="paragraph" w:styleId="7">
    <w:name w:val="heading 7"/>
    <w:basedOn w:val="a1"/>
    <w:next w:val="a1"/>
    <w:link w:val="7Char"/>
    <w:uiPriority w:val="99"/>
    <w:qFormat/>
    <w:rsid w:val="00C92DA1"/>
    <w:pPr>
      <w:keepNext/>
      <w:adjustRightInd/>
      <w:snapToGrid/>
      <w:spacing w:line="240" w:lineRule="auto"/>
      <w:ind w:firstLine="0"/>
      <w:outlineLvl w:val="6"/>
    </w:pPr>
    <w:rPr>
      <w:b/>
      <w:bCs/>
      <w:kern w:val="0"/>
      <w:sz w:val="24"/>
      <w:szCs w:val="24"/>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Char">
    <w:name w:val="标题 1 Char"/>
    <w:basedOn w:val="a2"/>
    <w:link w:val="1"/>
    <w:uiPriority w:val="99"/>
    <w:rsid w:val="00C92DA1"/>
    <w:rPr>
      <w:rFonts w:ascii="Times New Roman" w:eastAsia="方正书宋_GBK" w:hAnsi="Times New Roman" w:cs="Times New Roman"/>
      <w:b/>
      <w:bCs/>
      <w:kern w:val="44"/>
      <w:sz w:val="44"/>
      <w:szCs w:val="44"/>
    </w:rPr>
  </w:style>
  <w:style w:type="character" w:customStyle="1" w:styleId="2Char">
    <w:name w:val="标题 2 Char"/>
    <w:basedOn w:val="a2"/>
    <w:link w:val="2"/>
    <w:uiPriority w:val="99"/>
    <w:rsid w:val="00C92DA1"/>
    <w:rPr>
      <w:rFonts w:ascii="Cambria" w:eastAsia="宋体" w:hAnsi="Cambria" w:cs="Cambria"/>
      <w:b/>
      <w:bCs/>
      <w:sz w:val="32"/>
      <w:szCs w:val="32"/>
    </w:rPr>
  </w:style>
  <w:style w:type="character" w:customStyle="1" w:styleId="3Char">
    <w:name w:val="标题 3 Char"/>
    <w:basedOn w:val="a2"/>
    <w:link w:val="3"/>
    <w:uiPriority w:val="99"/>
    <w:rsid w:val="00C92DA1"/>
    <w:rPr>
      <w:rFonts w:ascii="Times New Roman" w:eastAsia="方正书宋_GBK" w:hAnsi="Times New Roman" w:cs="Times New Roman"/>
      <w:b/>
      <w:bCs/>
      <w:sz w:val="32"/>
      <w:szCs w:val="32"/>
    </w:rPr>
  </w:style>
  <w:style w:type="character" w:customStyle="1" w:styleId="4Char">
    <w:name w:val="标题 4 Char"/>
    <w:basedOn w:val="a2"/>
    <w:link w:val="4"/>
    <w:uiPriority w:val="99"/>
    <w:rsid w:val="00C92DA1"/>
    <w:rPr>
      <w:rFonts w:ascii="Cambria" w:eastAsia="宋体" w:hAnsi="Cambria" w:cs="Cambria"/>
      <w:b/>
      <w:bCs/>
      <w:sz w:val="28"/>
      <w:szCs w:val="28"/>
    </w:rPr>
  </w:style>
  <w:style w:type="character" w:customStyle="1" w:styleId="5Char">
    <w:name w:val="标题 5 Char"/>
    <w:basedOn w:val="a2"/>
    <w:link w:val="5"/>
    <w:uiPriority w:val="99"/>
    <w:rsid w:val="00C92DA1"/>
    <w:rPr>
      <w:rFonts w:ascii="Times New Roman" w:eastAsia="方正书宋_GBK" w:hAnsi="Times New Roman" w:cs="Times New Roman"/>
      <w:b/>
      <w:bCs/>
      <w:sz w:val="28"/>
      <w:szCs w:val="28"/>
    </w:rPr>
  </w:style>
  <w:style w:type="character" w:customStyle="1" w:styleId="7Char">
    <w:name w:val="标题 7 Char"/>
    <w:basedOn w:val="a2"/>
    <w:link w:val="7"/>
    <w:uiPriority w:val="99"/>
    <w:rsid w:val="00C92DA1"/>
    <w:rPr>
      <w:rFonts w:ascii="Times New Roman" w:eastAsia="方正书宋_GBK" w:hAnsi="Times New Roman" w:cs="Times New Roman"/>
      <w:b/>
      <w:bCs/>
      <w:sz w:val="24"/>
      <w:szCs w:val="24"/>
    </w:rPr>
  </w:style>
  <w:style w:type="character" w:styleId="a5">
    <w:name w:val="Hyperlink"/>
    <w:basedOn w:val="a2"/>
    <w:uiPriority w:val="99"/>
    <w:rsid w:val="00C92DA1"/>
    <w:rPr>
      <w:rFonts w:ascii="Times New Roman" w:hAnsi="Times New Roman" w:cs="Times New Roman"/>
      <w:color w:val="0000FF"/>
      <w:u w:val="single"/>
    </w:rPr>
  </w:style>
  <w:style w:type="character" w:styleId="a6">
    <w:name w:val="page number"/>
    <w:basedOn w:val="a2"/>
    <w:uiPriority w:val="99"/>
    <w:rsid w:val="00C92DA1"/>
    <w:rPr>
      <w:rFonts w:ascii="Times New Roman" w:hAnsi="Times New Roman" w:cs="Times New Roman"/>
    </w:rPr>
  </w:style>
  <w:style w:type="character" w:styleId="a7">
    <w:name w:val="footnote reference"/>
    <w:basedOn w:val="a2"/>
    <w:uiPriority w:val="99"/>
    <w:rsid w:val="00C92DA1"/>
    <w:rPr>
      <w:rFonts w:ascii="Times New Roman" w:hAnsi="Times New Roman" w:cs="Times New Roman"/>
      <w:vertAlign w:val="superscript"/>
    </w:rPr>
  </w:style>
  <w:style w:type="character" w:styleId="a8">
    <w:name w:val="Strong"/>
    <w:basedOn w:val="a2"/>
    <w:uiPriority w:val="99"/>
    <w:qFormat/>
    <w:rsid w:val="00C92DA1"/>
    <w:rPr>
      <w:rFonts w:ascii="Times New Roman" w:hAnsi="Times New Roman" w:cs="Times New Roman"/>
      <w:b/>
      <w:bCs/>
    </w:rPr>
  </w:style>
  <w:style w:type="character" w:customStyle="1" w:styleId="datatitle1">
    <w:name w:val="datatitle1"/>
    <w:uiPriority w:val="99"/>
    <w:rsid w:val="00C92DA1"/>
    <w:rPr>
      <w:b/>
      <w:bCs/>
      <w:color w:val="auto"/>
      <w:sz w:val="22"/>
      <w:szCs w:val="22"/>
    </w:rPr>
  </w:style>
  <w:style w:type="character" w:customStyle="1" w:styleId="hit">
    <w:name w:val="hit"/>
    <w:uiPriority w:val="99"/>
    <w:rsid w:val="00C92DA1"/>
    <w:rPr>
      <w:b/>
      <w:bCs/>
      <w:color w:val="FF0000"/>
    </w:rPr>
  </w:style>
  <w:style w:type="paragraph" w:styleId="a9">
    <w:name w:val="Body Text"/>
    <w:basedOn w:val="a1"/>
    <w:link w:val="Char"/>
    <w:uiPriority w:val="99"/>
    <w:rsid w:val="00C92DA1"/>
    <w:pPr>
      <w:adjustRightInd/>
      <w:snapToGrid/>
      <w:spacing w:after="120" w:line="240" w:lineRule="auto"/>
      <w:ind w:firstLine="0"/>
    </w:pPr>
    <w:rPr>
      <w:kern w:val="0"/>
    </w:rPr>
  </w:style>
  <w:style w:type="character" w:customStyle="1" w:styleId="Char">
    <w:name w:val="正文文本 Char"/>
    <w:basedOn w:val="a2"/>
    <w:link w:val="a9"/>
    <w:uiPriority w:val="99"/>
    <w:rsid w:val="00C92DA1"/>
    <w:rPr>
      <w:rFonts w:ascii="Times New Roman" w:eastAsia="方正书宋_GBK" w:hAnsi="Times New Roman" w:cs="Times New Roman"/>
      <w:sz w:val="20"/>
      <w:szCs w:val="20"/>
    </w:rPr>
  </w:style>
  <w:style w:type="paragraph" w:styleId="aa">
    <w:name w:val="footer"/>
    <w:basedOn w:val="a1"/>
    <w:link w:val="Char0"/>
    <w:uiPriority w:val="99"/>
    <w:rsid w:val="00C92DA1"/>
    <w:pPr>
      <w:tabs>
        <w:tab w:val="center" w:pos="4153"/>
        <w:tab w:val="right" w:pos="8306"/>
      </w:tabs>
      <w:jc w:val="left"/>
    </w:pPr>
    <w:rPr>
      <w:sz w:val="18"/>
      <w:szCs w:val="18"/>
    </w:rPr>
  </w:style>
  <w:style w:type="character" w:customStyle="1" w:styleId="Char0">
    <w:name w:val="页脚 Char"/>
    <w:basedOn w:val="a2"/>
    <w:link w:val="aa"/>
    <w:uiPriority w:val="99"/>
    <w:rsid w:val="00C92DA1"/>
    <w:rPr>
      <w:rFonts w:ascii="Times New Roman" w:eastAsia="方正书宋_GBK" w:hAnsi="Times New Roman" w:cs="Times New Roman"/>
      <w:kern w:val="2"/>
      <w:sz w:val="18"/>
      <w:szCs w:val="18"/>
    </w:rPr>
  </w:style>
  <w:style w:type="paragraph" w:styleId="ab">
    <w:name w:val="header"/>
    <w:basedOn w:val="a1"/>
    <w:link w:val="Char1"/>
    <w:uiPriority w:val="99"/>
    <w:rsid w:val="00C92DA1"/>
    <w:pPr>
      <w:pBdr>
        <w:bottom w:val="single" w:sz="6" w:space="1" w:color="auto"/>
      </w:pBdr>
      <w:tabs>
        <w:tab w:val="center" w:pos="4153"/>
        <w:tab w:val="right" w:pos="8306"/>
      </w:tabs>
      <w:jc w:val="center"/>
    </w:pPr>
    <w:rPr>
      <w:sz w:val="18"/>
      <w:szCs w:val="18"/>
    </w:rPr>
  </w:style>
  <w:style w:type="character" w:customStyle="1" w:styleId="Char1">
    <w:name w:val="页眉 Char"/>
    <w:basedOn w:val="a2"/>
    <w:link w:val="ab"/>
    <w:uiPriority w:val="99"/>
    <w:rsid w:val="00C92DA1"/>
    <w:rPr>
      <w:rFonts w:ascii="Times New Roman" w:eastAsia="方正书宋_GBK" w:hAnsi="Times New Roman" w:cs="Times New Roman"/>
      <w:kern w:val="2"/>
      <w:sz w:val="18"/>
      <w:szCs w:val="18"/>
    </w:rPr>
  </w:style>
  <w:style w:type="paragraph" w:styleId="ac">
    <w:name w:val="footnote text"/>
    <w:basedOn w:val="a1"/>
    <w:link w:val="Char2"/>
    <w:uiPriority w:val="99"/>
    <w:rsid w:val="00C92DA1"/>
    <w:pPr>
      <w:jc w:val="left"/>
    </w:pPr>
    <w:rPr>
      <w:kern w:val="0"/>
      <w:sz w:val="18"/>
      <w:szCs w:val="18"/>
    </w:rPr>
  </w:style>
  <w:style w:type="character" w:customStyle="1" w:styleId="Char2">
    <w:name w:val="脚注文本 Char"/>
    <w:basedOn w:val="a2"/>
    <w:link w:val="ac"/>
    <w:uiPriority w:val="99"/>
    <w:rsid w:val="00C92DA1"/>
    <w:rPr>
      <w:rFonts w:ascii="Times New Roman" w:eastAsia="方正书宋_GBK" w:hAnsi="Times New Roman" w:cs="Times New Roman"/>
      <w:sz w:val="18"/>
      <w:szCs w:val="18"/>
    </w:rPr>
  </w:style>
  <w:style w:type="paragraph" w:styleId="a0">
    <w:name w:val="table of figures"/>
    <w:basedOn w:val="a1"/>
    <w:next w:val="a1"/>
    <w:uiPriority w:val="99"/>
    <w:rsid w:val="00C92DA1"/>
    <w:pPr>
      <w:numPr>
        <w:numId w:val="1"/>
      </w:numPr>
      <w:tabs>
        <w:tab w:val="left" w:pos="420"/>
      </w:tabs>
      <w:spacing w:line="248" w:lineRule="exact"/>
      <w:ind w:firstLine="0"/>
    </w:pPr>
    <w:rPr>
      <w:sz w:val="17"/>
      <w:szCs w:val="17"/>
    </w:rPr>
  </w:style>
  <w:style w:type="paragraph" w:customStyle="1" w:styleId="table1">
    <w:name w:val="table 1"/>
    <w:basedOn w:val="a1"/>
    <w:uiPriority w:val="99"/>
    <w:rsid w:val="00C92DA1"/>
    <w:pPr>
      <w:spacing w:after="40"/>
      <w:ind w:firstLine="0"/>
    </w:pPr>
    <w:rPr>
      <w:sz w:val="17"/>
      <w:szCs w:val="17"/>
    </w:rPr>
  </w:style>
  <w:style w:type="paragraph" w:customStyle="1" w:styleId="10">
    <w:name w:val="样式1"/>
    <w:basedOn w:val="a1"/>
    <w:uiPriority w:val="99"/>
    <w:rsid w:val="00C92DA1"/>
    <w:pPr>
      <w:ind w:left="199" w:hanging="199"/>
    </w:pPr>
    <w:rPr>
      <w:rFonts w:ascii="Arial" w:hAnsi="Arial" w:cs="Arial"/>
      <w:sz w:val="16"/>
      <w:szCs w:val="16"/>
    </w:rPr>
  </w:style>
  <w:style w:type="paragraph" w:customStyle="1" w:styleId="50">
    <w:name w:val="标题5"/>
    <w:basedOn w:val="a1"/>
    <w:uiPriority w:val="99"/>
    <w:rsid w:val="00C92DA1"/>
    <w:pPr>
      <w:spacing w:before="160" w:after="320"/>
      <w:ind w:firstLine="0"/>
    </w:pPr>
    <w:rPr>
      <w:b/>
      <w:bCs/>
      <w:sz w:val="16"/>
      <w:szCs w:val="16"/>
    </w:rPr>
  </w:style>
  <w:style w:type="paragraph" w:customStyle="1" w:styleId="20">
    <w:name w:val="样式2"/>
    <w:basedOn w:val="a1"/>
    <w:uiPriority w:val="99"/>
    <w:rsid w:val="00C92DA1"/>
    <w:pPr>
      <w:spacing w:before="40" w:after="40"/>
      <w:ind w:firstLine="0"/>
    </w:pPr>
    <w:rPr>
      <w:rFonts w:ascii="Arial" w:hAnsi="Arial" w:cs="Arial"/>
      <w:sz w:val="16"/>
      <w:szCs w:val="16"/>
    </w:rPr>
  </w:style>
  <w:style w:type="paragraph" w:customStyle="1" w:styleId="SPIEreferences">
    <w:name w:val="SPIEreferences"/>
    <w:basedOn w:val="a1"/>
    <w:uiPriority w:val="99"/>
    <w:rsid w:val="00C92DA1"/>
    <w:pPr>
      <w:keepNext/>
      <w:widowControl/>
      <w:adjustRightInd/>
      <w:snapToGrid/>
      <w:spacing w:before="480" w:after="240" w:line="240" w:lineRule="auto"/>
      <w:ind w:firstLine="0"/>
      <w:jc w:val="center"/>
      <w:outlineLvl w:val="0"/>
    </w:pPr>
    <w:rPr>
      <w:b/>
      <w:bCs/>
      <w:caps/>
      <w:kern w:val="0"/>
      <w:sz w:val="22"/>
      <w:szCs w:val="22"/>
      <w:lang w:eastAsia="en-US"/>
    </w:rPr>
  </w:style>
  <w:style w:type="paragraph" w:customStyle="1" w:styleId="30">
    <w:name w:val="样式3"/>
    <w:basedOn w:val="a1"/>
    <w:uiPriority w:val="99"/>
    <w:rsid w:val="00C92DA1"/>
    <w:pPr>
      <w:ind w:firstLine="0"/>
    </w:pPr>
    <w:rPr>
      <w:rFonts w:ascii="Arial" w:hAnsi="Arial" w:cs="Arial"/>
      <w:sz w:val="19"/>
      <w:szCs w:val="19"/>
    </w:rPr>
  </w:style>
  <w:style w:type="paragraph" w:customStyle="1" w:styleId="a">
    <w:name w:val="参考文献"/>
    <w:basedOn w:val="a1"/>
    <w:uiPriority w:val="99"/>
    <w:rsid w:val="00C92DA1"/>
    <w:pPr>
      <w:numPr>
        <w:ilvl w:val="1"/>
        <w:numId w:val="2"/>
      </w:numPr>
      <w:tabs>
        <w:tab w:val="left" w:pos="1440"/>
      </w:tabs>
      <w:spacing w:line="280" w:lineRule="exact"/>
      <w:ind w:left="1440" w:hanging="360"/>
    </w:pPr>
    <w:rPr>
      <w:rFonts w:eastAsia="方正书宋简体"/>
      <w:color w:val="000000"/>
      <w:spacing w:val="2"/>
      <w:sz w:val="18"/>
      <w:szCs w:val="18"/>
    </w:rPr>
  </w:style>
  <w:style w:type="paragraph" w:customStyle="1" w:styleId="table">
    <w:name w:val="table"/>
    <w:basedOn w:val="a1"/>
    <w:uiPriority w:val="99"/>
    <w:rsid w:val="00C92DA1"/>
    <w:pPr>
      <w:spacing w:line="240" w:lineRule="atLeast"/>
      <w:ind w:firstLine="0"/>
      <w:jc w:val="center"/>
    </w:pPr>
    <w:rPr>
      <w:sz w:val="16"/>
      <w:szCs w:val="16"/>
      <w:lang w:val="en-GB"/>
    </w:rPr>
  </w:style>
  <w:style w:type="paragraph" w:customStyle="1" w:styleId="40">
    <w:name w:val="标题4"/>
    <w:basedOn w:val="a1"/>
    <w:uiPriority w:val="99"/>
    <w:rsid w:val="00C92DA1"/>
    <w:pPr>
      <w:spacing w:before="40" w:after="40"/>
      <w:ind w:firstLine="0"/>
    </w:pPr>
    <w:rPr>
      <w:rFonts w:eastAsia="黑体"/>
    </w:rPr>
  </w:style>
  <w:style w:type="paragraph" w:customStyle="1" w:styleId="41">
    <w:name w:val="样式4"/>
    <w:basedOn w:val="a1"/>
    <w:uiPriority w:val="99"/>
    <w:rsid w:val="00C92DA1"/>
    <w:pPr>
      <w:spacing w:before="200" w:line="220" w:lineRule="exact"/>
      <w:ind w:firstLine="0"/>
    </w:pPr>
    <w:rPr>
      <w:sz w:val="19"/>
      <w:szCs w:val="19"/>
    </w:rPr>
  </w:style>
  <w:style w:type="paragraph" w:customStyle="1" w:styleId="6">
    <w:name w:val="标题6"/>
    <w:basedOn w:val="a1"/>
    <w:uiPriority w:val="99"/>
    <w:rsid w:val="00C92DA1"/>
    <w:pPr>
      <w:spacing w:before="200" w:after="120"/>
      <w:ind w:firstLine="0"/>
    </w:pPr>
    <w:rPr>
      <w:b/>
      <w:bCs/>
    </w:rPr>
  </w:style>
  <w:style w:type="paragraph" w:customStyle="1" w:styleId="51">
    <w:name w:val="样式5"/>
    <w:basedOn w:val="a1"/>
    <w:uiPriority w:val="99"/>
    <w:rsid w:val="00C92DA1"/>
    <w:pPr>
      <w:spacing w:before="120" w:after="120"/>
      <w:ind w:firstLine="0"/>
    </w:pPr>
    <w:rPr>
      <w:i/>
      <w:iCs/>
    </w:rPr>
  </w:style>
  <w:style w:type="paragraph" w:customStyle="1" w:styleId="11">
    <w:name w:val="列出段落1"/>
    <w:basedOn w:val="a1"/>
    <w:uiPriority w:val="99"/>
    <w:rsid w:val="00C92DA1"/>
    <w:pPr>
      <w:adjustRightInd/>
      <w:snapToGrid/>
      <w:spacing w:line="240" w:lineRule="auto"/>
      <w:ind w:firstLineChars="200" w:firstLine="420"/>
    </w:pPr>
    <w:rPr>
      <w:rFonts w:ascii="Calibri" w:eastAsia="宋体" w:hAnsi="Calibri" w:cs="Calibri"/>
      <w:sz w:val="21"/>
      <w:szCs w:val="21"/>
    </w:rPr>
  </w:style>
  <w:style w:type="paragraph" w:styleId="ad">
    <w:name w:val="Balloon Text"/>
    <w:basedOn w:val="a1"/>
    <w:link w:val="Char10"/>
    <w:uiPriority w:val="99"/>
    <w:rsid w:val="00C92DA1"/>
    <w:pPr>
      <w:spacing w:line="240" w:lineRule="auto"/>
    </w:pPr>
    <w:rPr>
      <w:kern w:val="0"/>
      <w:sz w:val="2"/>
      <w:szCs w:val="2"/>
    </w:rPr>
  </w:style>
  <w:style w:type="character" w:customStyle="1" w:styleId="Char10">
    <w:name w:val="批注框文本 Char1"/>
    <w:basedOn w:val="a2"/>
    <w:link w:val="ad"/>
    <w:uiPriority w:val="99"/>
    <w:rsid w:val="00C92DA1"/>
    <w:rPr>
      <w:rFonts w:ascii="Times New Roman" w:eastAsia="方正书宋_GBK" w:hAnsi="Times New Roman" w:cs="Times New Roman"/>
      <w:sz w:val="2"/>
      <w:szCs w:val="2"/>
    </w:rPr>
  </w:style>
  <w:style w:type="character" w:customStyle="1" w:styleId="Char3">
    <w:name w:val="批注框文本 Char"/>
    <w:uiPriority w:val="99"/>
    <w:rsid w:val="00C92DA1"/>
    <w:rPr>
      <w:rFonts w:eastAsia="方正书宋_GBK"/>
      <w:kern w:val="2"/>
      <w:sz w:val="18"/>
      <w:szCs w:val="18"/>
    </w:rPr>
  </w:style>
  <w:style w:type="paragraph" w:customStyle="1" w:styleId="figure">
    <w:name w:val="figure"/>
    <w:basedOn w:val="a1"/>
    <w:uiPriority w:val="99"/>
    <w:rsid w:val="00C92DA1"/>
    <w:pPr>
      <w:spacing w:before="160" w:after="120"/>
      <w:ind w:firstLine="0"/>
      <w:jc w:val="center"/>
    </w:pPr>
  </w:style>
  <w:style w:type="character" w:styleId="ae">
    <w:name w:val="annotation reference"/>
    <w:basedOn w:val="a2"/>
    <w:uiPriority w:val="99"/>
    <w:rsid w:val="00C92DA1"/>
    <w:rPr>
      <w:rFonts w:ascii="Times New Roman" w:hAnsi="Times New Roman" w:cs="Times New Roman"/>
      <w:sz w:val="21"/>
      <w:szCs w:val="21"/>
    </w:rPr>
  </w:style>
  <w:style w:type="paragraph" w:styleId="af">
    <w:name w:val="annotation text"/>
    <w:basedOn w:val="a1"/>
    <w:link w:val="Char11"/>
    <w:uiPriority w:val="99"/>
    <w:rsid w:val="00C92DA1"/>
    <w:pPr>
      <w:jc w:val="left"/>
    </w:pPr>
    <w:rPr>
      <w:sz w:val="24"/>
      <w:szCs w:val="24"/>
    </w:rPr>
  </w:style>
  <w:style w:type="character" w:customStyle="1" w:styleId="Char11">
    <w:name w:val="批注文字 Char1"/>
    <w:basedOn w:val="a2"/>
    <w:link w:val="af"/>
    <w:uiPriority w:val="99"/>
    <w:rsid w:val="00C92DA1"/>
    <w:rPr>
      <w:rFonts w:ascii="Times New Roman" w:eastAsia="方正书宋_GBK" w:hAnsi="Times New Roman" w:cs="Times New Roman"/>
      <w:kern w:val="2"/>
      <w:sz w:val="24"/>
      <w:szCs w:val="24"/>
    </w:rPr>
  </w:style>
  <w:style w:type="character" w:customStyle="1" w:styleId="Char4">
    <w:name w:val="批注文字 Char"/>
    <w:uiPriority w:val="99"/>
    <w:rsid w:val="00C92DA1"/>
    <w:rPr>
      <w:rFonts w:eastAsia="方正书宋_GBK"/>
      <w:kern w:val="2"/>
      <w:sz w:val="24"/>
      <w:szCs w:val="24"/>
    </w:rPr>
  </w:style>
  <w:style w:type="paragraph" w:styleId="af0">
    <w:name w:val="Normal (Web)"/>
    <w:basedOn w:val="a1"/>
    <w:uiPriority w:val="99"/>
    <w:rsid w:val="00C92DA1"/>
    <w:pPr>
      <w:spacing w:beforeAutospacing="1" w:afterAutospacing="1"/>
      <w:jc w:val="left"/>
    </w:pPr>
    <w:rPr>
      <w:kern w:val="0"/>
      <w:sz w:val="24"/>
      <w:szCs w:val="24"/>
    </w:rPr>
  </w:style>
  <w:style w:type="paragraph" w:customStyle="1" w:styleId="MTDisplayEquation">
    <w:name w:val="MTDisplayEquation"/>
    <w:basedOn w:val="a1"/>
    <w:next w:val="a1"/>
    <w:uiPriority w:val="99"/>
    <w:rsid w:val="00C92DA1"/>
    <w:pPr>
      <w:tabs>
        <w:tab w:val="center" w:pos="3960"/>
        <w:tab w:val="right" w:pos="7940"/>
      </w:tabs>
    </w:pPr>
  </w:style>
  <w:style w:type="character" w:customStyle="1" w:styleId="MTDisplayEquationChar">
    <w:name w:val="MTDisplayEquation Char"/>
    <w:uiPriority w:val="99"/>
    <w:rsid w:val="00C92DA1"/>
    <w:rPr>
      <w:rFonts w:ascii="Times New Roman" w:eastAsia="方正书宋_GBK" w:hAnsi="Times New Roman" w:cs="Times New Roman"/>
      <w:kern w:val="2"/>
      <w:sz w:val="24"/>
      <w:szCs w:val="24"/>
    </w:rPr>
  </w:style>
  <w:style w:type="paragraph" w:styleId="af1">
    <w:name w:val="Plain Text"/>
    <w:basedOn w:val="a1"/>
    <w:link w:val="Char5"/>
    <w:uiPriority w:val="99"/>
    <w:rsid w:val="00C92DA1"/>
    <w:rPr>
      <w:rFonts w:ascii="宋体" w:hAnsi="Courier New" w:cs="宋体"/>
      <w:sz w:val="24"/>
      <w:szCs w:val="24"/>
    </w:rPr>
  </w:style>
  <w:style w:type="character" w:customStyle="1" w:styleId="Char5">
    <w:name w:val="纯文本 Char"/>
    <w:basedOn w:val="a2"/>
    <w:link w:val="af1"/>
    <w:uiPriority w:val="99"/>
    <w:rsid w:val="00C92DA1"/>
    <w:rPr>
      <w:rFonts w:ascii="宋体" w:eastAsia="方正书宋_GBK" w:hAnsi="Courier New" w:cs="宋体"/>
      <w:kern w:val="2"/>
      <w:sz w:val="24"/>
      <w:szCs w:val="24"/>
    </w:rPr>
  </w:style>
  <w:style w:type="paragraph" w:styleId="af2">
    <w:name w:val="List Paragraph"/>
    <w:basedOn w:val="a1"/>
    <w:uiPriority w:val="99"/>
    <w:qFormat/>
    <w:rsid w:val="00C92DA1"/>
    <w:pPr>
      <w:ind w:left="720"/>
    </w:pPr>
  </w:style>
  <w:style w:type="paragraph" w:styleId="af3">
    <w:name w:val="annotation subject"/>
    <w:basedOn w:val="af"/>
    <w:next w:val="af"/>
    <w:link w:val="Char6"/>
    <w:uiPriority w:val="99"/>
    <w:rsid w:val="00C92DA1"/>
    <w:rPr>
      <w:b/>
      <w:bCs/>
    </w:rPr>
  </w:style>
  <w:style w:type="character" w:customStyle="1" w:styleId="Char6">
    <w:name w:val="批注主题 Char"/>
    <w:basedOn w:val="Char11"/>
    <w:link w:val="af3"/>
    <w:uiPriority w:val="99"/>
    <w:rsid w:val="00C92DA1"/>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7.wmf"/><Relationship Id="rId26" Type="http://schemas.openxmlformats.org/officeDocument/2006/relationships/image" Target="media/image11.wmf"/><Relationship Id="rId39" Type="http://schemas.openxmlformats.org/officeDocument/2006/relationships/oleObject" Target="embeddings/oleObject16.bin"/><Relationship Id="rId21" Type="http://schemas.openxmlformats.org/officeDocument/2006/relationships/oleObject" Target="embeddings/oleObject7.bin"/><Relationship Id="rId34" Type="http://schemas.openxmlformats.org/officeDocument/2006/relationships/image" Target="media/image15.wmf"/><Relationship Id="rId42" Type="http://schemas.openxmlformats.org/officeDocument/2006/relationships/oleObject" Target="embeddings/oleObject17.bin"/><Relationship Id="rId47" Type="http://schemas.openxmlformats.org/officeDocument/2006/relationships/image" Target="media/image22.wmf"/><Relationship Id="rId50" Type="http://schemas.openxmlformats.org/officeDocument/2006/relationships/oleObject" Target="embeddings/oleObject21.bin"/><Relationship Id="rId55" Type="http://schemas.openxmlformats.org/officeDocument/2006/relationships/image" Target="media/image26.wmf"/><Relationship Id="rId63" Type="http://schemas.openxmlformats.org/officeDocument/2006/relationships/image" Target="media/image30.wmf"/><Relationship Id="rId68" Type="http://schemas.openxmlformats.org/officeDocument/2006/relationships/oleObject" Target="embeddings/oleObject30.bin"/><Relationship Id="rId76" Type="http://schemas.openxmlformats.org/officeDocument/2006/relationships/image" Target="media/image37.png"/><Relationship Id="rId84" Type="http://schemas.openxmlformats.org/officeDocument/2006/relationships/footer" Target="footer1.xml"/><Relationship Id="rId7" Type="http://schemas.openxmlformats.org/officeDocument/2006/relationships/image" Target="media/image1.png"/><Relationship Id="rId71" Type="http://schemas.openxmlformats.org/officeDocument/2006/relationships/image" Target="media/image34.wmf"/><Relationship Id="rId2" Type="http://schemas.openxmlformats.org/officeDocument/2006/relationships/styles" Target="styles.xml"/><Relationship Id="rId16" Type="http://schemas.openxmlformats.org/officeDocument/2006/relationships/image" Target="media/image6.wmf"/><Relationship Id="rId29" Type="http://schemas.openxmlformats.org/officeDocument/2006/relationships/oleObject" Target="embeddings/oleObject11.bin"/><Relationship Id="rId11" Type="http://schemas.openxmlformats.org/officeDocument/2006/relationships/oleObject" Target="embeddings/oleObject2.bin"/><Relationship Id="rId24" Type="http://schemas.openxmlformats.org/officeDocument/2006/relationships/image" Target="media/image10.wmf"/><Relationship Id="rId32" Type="http://schemas.openxmlformats.org/officeDocument/2006/relationships/image" Target="media/image14.wmf"/><Relationship Id="rId37" Type="http://schemas.openxmlformats.org/officeDocument/2006/relationships/oleObject" Target="embeddings/oleObject15.bin"/><Relationship Id="rId40" Type="http://schemas.openxmlformats.org/officeDocument/2006/relationships/image" Target="media/image18.png"/><Relationship Id="rId45" Type="http://schemas.openxmlformats.org/officeDocument/2006/relationships/image" Target="media/image21.wmf"/><Relationship Id="rId53" Type="http://schemas.openxmlformats.org/officeDocument/2006/relationships/image" Target="media/image25.wmf"/><Relationship Id="rId58" Type="http://schemas.openxmlformats.org/officeDocument/2006/relationships/oleObject" Target="embeddings/oleObject25.bin"/><Relationship Id="rId66" Type="http://schemas.openxmlformats.org/officeDocument/2006/relationships/oleObject" Target="embeddings/oleObject29.bin"/><Relationship Id="rId74" Type="http://schemas.openxmlformats.org/officeDocument/2006/relationships/oleObject" Target="embeddings/oleObject33.bin"/><Relationship Id="rId79" Type="http://schemas.openxmlformats.org/officeDocument/2006/relationships/image" Target="media/image40.png"/><Relationship Id="rId5" Type="http://schemas.openxmlformats.org/officeDocument/2006/relationships/footnotes" Target="footnotes.xml"/><Relationship Id="rId61" Type="http://schemas.openxmlformats.org/officeDocument/2006/relationships/image" Target="media/image29.wmf"/><Relationship Id="rId82" Type="http://schemas.openxmlformats.org/officeDocument/2006/relationships/header" Target="header2.xml"/><Relationship Id="rId19" Type="http://schemas.openxmlformats.org/officeDocument/2006/relationships/oleObject" Target="embeddings/oleObject6.bin"/><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0.bin"/><Relationship Id="rId30" Type="http://schemas.openxmlformats.org/officeDocument/2006/relationships/image" Target="media/image13.wmf"/><Relationship Id="rId35" Type="http://schemas.openxmlformats.org/officeDocument/2006/relationships/oleObject" Target="embeddings/oleObject14.bin"/><Relationship Id="rId43" Type="http://schemas.openxmlformats.org/officeDocument/2006/relationships/image" Target="media/image20.wmf"/><Relationship Id="rId48" Type="http://schemas.openxmlformats.org/officeDocument/2006/relationships/oleObject" Target="embeddings/oleObject20.bin"/><Relationship Id="rId56" Type="http://schemas.openxmlformats.org/officeDocument/2006/relationships/oleObject" Target="embeddings/oleObject24.bin"/><Relationship Id="rId64" Type="http://schemas.openxmlformats.org/officeDocument/2006/relationships/oleObject" Target="embeddings/oleObject28.bin"/><Relationship Id="rId69" Type="http://schemas.openxmlformats.org/officeDocument/2006/relationships/image" Target="media/image33.wmf"/><Relationship Id="rId77" Type="http://schemas.openxmlformats.org/officeDocument/2006/relationships/image" Target="media/image38.png"/><Relationship Id="rId8" Type="http://schemas.openxmlformats.org/officeDocument/2006/relationships/image" Target="media/image2.wmf"/><Relationship Id="rId51" Type="http://schemas.openxmlformats.org/officeDocument/2006/relationships/image" Target="media/image24.wmf"/><Relationship Id="rId72" Type="http://schemas.openxmlformats.org/officeDocument/2006/relationships/oleObject" Target="embeddings/oleObject32.bin"/><Relationship Id="rId80" Type="http://schemas.openxmlformats.org/officeDocument/2006/relationships/image" Target="media/image41.png"/><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4.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7.wmf"/><Relationship Id="rId46" Type="http://schemas.openxmlformats.org/officeDocument/2006/relationships/oleObject" Target="embeddings/oleObject19.bin"/><Relationship Id="rId59" Type="http://schemas.openxmlformats.org/officeDocument/2006/relationships/image" Target="media/image28.wmf"/><Relationship Id="rId67" Type="http://schemas.openxmlformats.org/officeDocument/2006/relationships/image" Target="media/image32.wmf"/><Relationship Id="rId20" Type="http://schemas.openxmlformats.org/officeDocument/2006/relationships/image" Target="media/image8.wmf"/><Relationship Id="rId41" Type="http://schemas.openxmlformats.org/officeDocument/2006/relationships/image" Target="media/image19.wmf"/><Relationship Id="rId54" Type="http://schemas.openxmlformats.org/officeDocument/2006/relationships/oleObject" Target="embeddings/oleObject23.bin"/><Relationship Id="rId62" Type="http://schemas.openxmlformats.org/officeDocument/2006/relationships/oleObject" Target="embeddings/oleObject27.bin"/><Relationship Id="rId70" Type="http://schemas.openxmlformats.org/officeDocument/2006/relationships/oleObject" Target="embeddings/oleObject31.bin"/><Relationship Id="rId75" Type="http://schemas.openxmlformats.org/officeDocument/2006/relationships/image" Target="media/image36.png"/><Relationship Id="rId83"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2.wmf"/><Relationship Id="rId36" Type="http://schemas.openxmlformats.org/officeDocument/2006/relationships/image" Target="media/image16.wmf"/><Relationship Id="rId49" Type="http://schemas.openxmlformats.org/officeDocument/2006/relationships/image" Target="media/image23.wmf"/><Relationship Id="rId57" Type="http://schemas.openxmlformats.org/officeDocument/2006/relationships/image" Target="media/image27.wmf"/><Relationship Id="rId10" Type="http://schemas.openxmlformats.org/officeDocument/2006/relationships/image" Target="media/image3.wmf"/><Relationship Id="rId31" Type="http://schemas.openxmlformats.org/officeDocument/2006/relationships/oleObject" Target="embeddings/oleObject12.bin"/><Relationship Id="rId44" Type="http://schemas.openxmlformats.org/officeDocument/2006/relationships/oleObject" Target="embeddings/oleObject18.bin"/><Relationship Id="rId52" Type="http://schemas.openxmlformats.org/officeDocument/2006/relationships/oleObject" Target="embeddings/oleObject22.bin"/><Relationship Id="rId60" Type="http://schemas.openxmlformats.org/officeDocument/2006/relationships/oleObject" Target="embeddings/oleObject26.bin"/><Relationship Id="rId65" Type="http://schemas.openxmlformats.org/officeDocument/2006/relationships/image" Target="media/image31.wmf"/><Relationship Id="rId73" Type="http://schemas.openxmlformats.org/officeDocument/2006/relationships/image" Target="media/image35.wmf"/><Relationship Id="rId78" Type="http://schemas.openxmlformats.org/officeDocument/2006/relationships/image" Target="media/image39.png"/><Relationship Id="rId81" Type="http://schemas.openxmlformats.org/officeDocument/2006/relationships/header" Target="header1.xml"/><Relationship Id="rId86"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lbs.amap.com/" TargetMode="External"/><Relationship Id="rId1" Type="http://schemas.openxmlformats.org/officeDocument/2006/relationships/hyperlink" Target="https://www.openstreetma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15</Pages>
  <Words>2215</Words>
  <Characters>12630</Characters>
  <Application>Microsoft Office Word</Application>
  <DocSecurity>0</DocSecurity>
  <Lines>105</Lines>
  <Paragraphs>29</Paragraphs>
  <ScaleCrop>false</ScaleCrop>
  <Company>sci</Company>
  <LinksUpToDate>false</LinksUpToDate>
  <CharactersWithSpaces>14816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10</dc:title>
  <dc:subject/>
  <dc:creator>win</dc:creator>
  <cp:keywords/>
  <dc:description/>
  <cp:lastModifiedBy>Microsoft</cp:lastModifiedBy>
  <cp:revision>189</cp:revision>
  <cp:lastPrinted>2026-11-04T07:31:00Z</cp:lastPrinted>
  <dcterms:created xsi:type="dcterms:W3CDTF">2026-08-27T01:27:00Z</dcterms:created>
  <dcterms:modified xsi:type="dcterms:W3CDTF">2026-11-04T07:32:00Z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KSOProductBuildVer">
    <vt:lpwstr>2052-11.1.0.9098</vt:lpwstr>
  </property>
</Properties>
</file>